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CA5" w:rsidRDefault="00112CA5" w:rsidP="00112CA5">
      <w:pPr>
        <w:ind w:left="5040" w:firstLine="720"/>
        <w:jc w:val="center"/>
        <w:rPr>
          <w:b/>
          <w:sz w:val="28"/>
          <w:szCs w:val="28"/>
        </w:rPr>
      </w:pPr>
      <w:r>
        <w:rPr>
          <w:b/>
          <w:sz w:val="28"/>
          <w:szCs w:val="28"/>
        </w:rPr>
        <w:t>30.06.2009</w:t>
      </w:r>
    </w:p>
    <w:p w:rsidR="00112CA5" w:rsidRDefault="00112CA5" w:rsidP="00CA1777">
      <w:pPr>
        <w:jc w:val="center"/>
        <w:rPr>
          <w:b/>
          <w:sz w:val="28"/>
          <w:szCs w:val="28"/>
        </w:rPr>
      </w:pPr>
    </w:p>
    <w:p w:rsidR="00E84CCE" w:rsidRPr="00014178" w:rsidRDefault="0030545E" w:rsidP="00CA1777">
      <w:pPr>
        <w:jc w:val="center"/>
        <w:rPr>
          <w:b/>
          <w:sz w:val="28"/>
          <w:szCs w:val="28"/>
        </w:rPr>
      </w:pPr>
      <w:bookmarkStart w:id="0" w:name="_GoBack"/>
      <w:smartTag w:uri="urn:schemas-microsoft-com:office:smarttags" w:element="PersonName">
        <w:r w:rsidRPr="00014178">
          <w:rPr>
            <w:b/>
            <w:sz w:val="28"/>
            <w:szCs w:val="28"/>
          </w:rPr>
          <w:t>Info</w:t>
        </w:r>
      </w:smartTag>
      <w:r w:rsidRPr="00014178">
        <w:rPr>
          <w:b/>
          <w:sz w:val="28"/>
          <w:szCs w:val="28"/>
        </w:rPr>
        <w:t>rmatīvais z</w:t>
      </w:r>
      <w:r w:rsidR="00DB3497" w:rsidRPr="00014178">
        <w:rPr>
          <w:b/>
          <w:sz w:val="28"/>
          <w:szCs w:val="28"/>
        </w:rPr>
        <w:t>iņojums</w:t>
      </w:r>
    </w:p>
    <w:p w:rsidR="005878F8" w:rsidRDefault="0061069F" w:rsidP="00F41A7C">
      <w:pPr>
        <w:jc w:val="center"/>
        <w:rPr>
          <w:b/>
          <w:sz w:val="28"/>
          <w:szCs w:val="28"/>
        </w:rPr>
      </w:pPr>
      <w:bookmarkStart w:id="1" w:name="OLE_LINK1"/>
      <w:bookmarkStart w:id="2" w:name="OLE_LINK2"/>
      <w:r>
        <w:rPr>
          <w:b/>
          <w:sz w:val="28"/>
          <w:szCs w:val="28"/>
        </w:rPr>
        <w:t xml:space="preserve">par </w:t>
      </w:r>
      <w:r w:rsidR="00F41A7C" w:rsidRPr="00014178">
        <w:rPr>
          <w:b/>
          <w:sz w:val="28"/>
          <w:szCs w:val="28"/>
        </w:rPr>
        <w:t xml:space="preserve">zemes īpašuma vērtības kompensācijas </w:t>
      </w:r>
    </w:p>
    <w:p w:rsidR="005878F8" w:rsidRDefault="00F41A7C" w:rsidP="005878F8">
      <w:pPr>
        <w:jc w:val="center"/>
        <w:rPr>
          <w:b/>
          <w:sz w:val="28"/>
          <w:szCs w:val="28"/>
        </w:rPr>
      </w:pPr>
      <w:r w:rsidRPr="00014178">
        <w:rPr>
          <w:b/>
          <w:sz w:val="28"/>
          <w:szCs w:val="28"/>
        </w:rPr>
        <w:t>mehānismu un līdzvērtīgas zemes piešķi</w:t>
      </w:r>
      <w:r w:rsidR="005878F8">
        <w:rPr>
          <w:b/>
          <w:sz w:val="28"/>
          <w:szCs w:val="28"/>
        </w:rPr>
        <w:t xml:space="preserve">ršanas kārtību </w:t>
      </w:r>
    </w:p>
    <w:p w:rsidR="00F41A7C" w:rsidRPr="00014178" w:rsidRDefault="005878F8" w:rsidP="005878F8">
      <w:pPr>
        <w:jc w:val="center"/>
        <w:rPr>
          <w:b/>
          <w:sz w:val="28"/>
          <w:szCs w:val="28"/>
        </w:rPr>
      </w:pPr>
      <w:r>
        <w:rPr>
          <w:b/>
          <w:sz w:val="28"/>
          <w:szCs w:val="28"/>
        </w:rPr>
        <w:t>bijušajiem zemes</w:t>
      </w:r>
      <w:r w:rsidR="006E211F">
        <w:rPr>
          <w:b/>
          <w:sz w:val="28"/>
          <w:szCs w:val="28"/>
        </w:rPr>
        <w:t xml:space="preserve"> </w:t>
      </w:r>
      <w:r w:rsidR="00F41A7C" w:rsidRPr="00014178">
        <w:rPr>
          <w:b/>
          <w:sz w:val="28"/>
          <w:szCs w:val="28"/>
        </w:rPr>
        <w:t>ī</w:t>
      </w:r>
      <w:r>
        <w:rPr>
          <w:b/>
          <w:sz w:val="28"/>
          <w:szCs w:val="28"/>
        </w:rPr>
        <w:t>pašniekiem vai to mantiniekiem</w:t>
      </w:r>
    </w:p>
    <w:bookmarkEnd w:id="1"/>
    <w:bookmarkEnd w:id="2"/>
    <w:bookmarkEnd w:id="0"/>
    <w:p w:rsidR="00314925" w:rsidRPr="00014178" w:rsidRDefault="00314925" w:rsidP="00314925">
      <w:pPr>
        <w:jc w:val="center"/>
        <w:rPr>
          <w:sz w:val="28"/>
          <w:szCs w:val="28"/>
        </w:rPr>
      </w:pPr>
    </w:p>
    <w:p w:rsidR="00F41A7C" w:rsidRPr="00014178" w:rsidRDefault="00F41A7C" w:rsidP="00F41A7C">
      <w:pPr>
        <w:pStyle w:val="naisf"/>
        <w:spacing w:before="0" w:beforeAutospacing="0" w:after="0" w:afterAutospacing="0"/>
        <w:ind w:firstLine="644"/>
        <w:jc w:val="both"/>
        <w:rPr>
          <w:sz w:val="28"/>
          <w:szCs w:val="28"/>
        </w:rPr>
      </w:pPr>
      <w:r w:rsidRPr="00014178">
        <w:rPr>
          <w:sz w:val="28"/>
          <w:szCs w:val="28"/>
        </w:rPr>
        <w:t xml:space="preserve">Ministru prezidenta 2009. gada 11. marta rezolūcijā Nr. 90/SAN-917 tieslietu ministram ir </w:t>
      </w:r>
      <w:r w:rsidR="00E73A16">
        <w:rPr>
          <w:sz w:val="28"/>
          <w:szCs w:val="28"/>
        </w:rPr>
        <w:t>do</w:t>
      </w:r>
      <w:r w:rsidRPr="00014178">
        <w:rPr>
          <w:sz w:val="28"/>
          <w:szCs w:val="28"/>
        </w:rPr>
        <w:t xml:space="preserve">ts uzdevums </w:t>
      </w:r>
      <w:r w:rsidR="00475B13" w:rsidRPr="00014178">
        <w:rPr>
          <w:sz w:val="28"/>
          <w:szCs w:val="28"/>
        </w:rPr>
        <w:t>iepazīties ar La</w:t>
      </w:r>
      <w:r w:rsidR="00B61FA8" w:rsidRPr="00014178">
        <w:rPr>
          <w:sz w:val="28"/>
          <w:szCs w:val="28"/>
        </w:rPr>
        <w:t xml:space="preserve">tvijas Republikas Tiesībsarga 2009. gada </w:t>
      </w:r>
      <w:r w:rsidR="00475B13" w:rsidRPr="00014178">
        <w:rPr>
          <w:sz w:val="28"/>
          <w:szCs w:val="28"/>
        </w:rPr>
        <w:t xml:space="preserve">3. marta vēstuli Nr. 6-8/192 (turpmāk – vēstule) un </w:t>
      </w:r>
      <w:r w:rsidRPr="00014178">
        <w:rPr>
          <w:sz w:val="28"/>
          <w:szCs w:val="28"/>
        </w:rPr>
        <w:t>sagatavot ar finanšu ministru un ekonomikas ministru saskaņotu informatīvo ziņojumu par taisnīgāku zemes īpašuma vērtības kompensācijas mehānismu un līdzvērtīgas zemes piešķiršanas kārtību bijušajiem zemes īpašniekiem vai to mantiniekiem, ka arī informēt par veicamajiem pa</w:t>
      </w:r>
      <w:r w:rsidR="00B61FA8" w:rsidRPr="00014178">
        <w:rPr>
          <w:sz w:val="28"/>
          <w:szCs w:val="28"/>
        </w:rPr>
        <w:t>sākumiem, to izpildes termiņiem</w:t>
      </w:r>
      <w:r w:rsidRPr="00014178">
        <w:rPr>
          <w:sz w:val="28"/>
          <w:szCs w:val="28"/>
        </w:rPr>
        <w:t xml:space="preserve"> un atbildīg</w:t>
      </w:r>
      <w:r w:rsidR="005878F8">
        <w:rPr>
          <w:sz w:val="28"/>
          <w:szCs w:val="28"/>
        </w:rPr>
        <w:t>aj</w:t>
      </w:r>
      <w:r w:rsidRPr="00014178">
        <w:rPr>
          <w:sz w:val="28"/>
          <w:szCs w:val="28"/>
        </w:rPr>
        <w:t>ām institūcijām.</w:t>
      </w:r>
    </w:p>
    <w:p w:rsidR="006F1318" w:rsidRDefault="00475B13" w:rsidP="00F41A7C">
      <w:pPr>
        <w:pStyle w:val="naisf"/>
        <w:spacing w:before="0" w:beforeAutospacing="0" w:after="0" w:afterAutospacing="0"/>
        <w:ind w:firstLine="644"/>
        <w:jc w:val="both"/>
        <w:rPr>
          <w:sz w:val="28"/>
          <w:szCs w:val="28"/>
        </w:rPr>
      </w:pPr>
      <w:r w:rsidRPr="00014178">
        <w:rPr>
          <w:sz w:val="28"/>
          <w:szCs w:val="28"/>
        </w:rPr>
        <w:t>Savā vēstul</w:t>
      </w:r>
      <w:r w:rsidR="006F1B33">
        <w:rPr>
          <w:sz w:val="28"/>
          <w:szCs w:val="28"/>
        </w:rPr>
        <w:t>ē</w:t>
      </w:r>
      <w:r w:rsidRPr="00014178">
        <w:rPr>
          <w:sz w:val="28"/>
          <w:szCs w:val="28"/>
        </w:rPr>
        <w:t xml:space="preserve"> Latvijas Republikas Tiesībsargs</w:t>
      </w:r>
      <w:r w:rsidR="00E73A16">
        <w:rPr>
          <w:sz w:val="28"/>
          <w:szCs w:val="28"/>
        </w:rPr>
        <w:t xml:space="preserve"> (turpmāk – Tiesībsargs)</w:t>
      </w:r>
      <w:r w:rsidRPr="00014178">
        <w:rPr>
          <w:sz w:val="28"/>
          <w:szCs w:val="28"/>
        </w:rPr>
        <w:t xml:space="preserve"> norāda uz</w:t>
      </w:r>
      <w:r w:rsidR="00295121">
        <w:rPr>
          <w:sz w:val="28"/>
          <w:szCs w:val="28"/>
        </w:rPr>
        <w:t xml:space="preserve"> </w:t>
      </w:r>
      <w:r w:rsidR="006F1318">
        <w:rPr>
          <w:sz w:val="28"/>
          <w:szCs w:val="28"/>
        </w:rPr>
        <w:t>to, ka bijušajiem zemes īpašniekiem vai viņu mantiniekiem līdzvērtīg</w:t>
      </w:r>
      <w:r w:rsidR="005878F8">
        <w:rPr>
          <w:sz w:val="28"/>
          <w:szCs w:val="28"/>
        </w:rPr>
        <w:t>a</w:t>
      </w:r>
      <w:r w:rsidR="006F1318">
        <w:rPr>
          <w:sz w:val="28"/>
          <w:szCs w:val="28"/>
        </w:rPr>
        <w:t xml:space="preserve"> zemesgabala veidā tiek tikai daļēji kompensēta</w:t>
      </w:r>
      <w:r w:rsidRPr="00014178">
        <w:rPr>
          <w:sz w:val="28"/>
          <w:szCs w:val="28"/>
        </w:rPr>
        <w:t xml:space="preserve"> </w:t>
      </w:r>
      <w:r w:rsidR="006F1318">
        <w:rPr>
          <w:sz w:val="28"/>
          <w:szCs w:val="28"/>
        </w:rPr>
        <w:t xml:space="preserve">okupācijas laikā nacionalizētā zeme </w:t>
      </w:r>
      <w:r w:rsidR="004B3D86">
        <w:rPr>
          <w:sz w:val="28"/>
          <w:szCs w:val="28"/>
        </w:rPr>
        <w:t xml:space="preserve">pilsētās </w:t>
      </w:r>
      <w:r w:rsidR="006F1318">
        <w:rPr>
          <w:sz w:val="28"/>
          <w:szCs w:val="28"/>
        </w:rPr>
        <w:t xml:space="preserve">un ka valstij ir </w:t>
      </w:r>
      <w:r w:rsidR="005968DC">
        <w:rPr>
          <w:sz w:val="28"/>
          <w:szCs w:val="28"/>
        </w:rPr>
        <w:t>jāievieš</w:t>
      </w:r>
      <w:r w:rsidR="006F1318">
        <w:rPr>
          <w:sz w:val="28"/>
          <w:szCs w:val="28"/>
        </w:rPr>
        <w:t xml:space="preserve"> tāds tiesiskais regulējums, kas ļautu sasniegt pēc iespējas pilnīgāku kaitējuma kompensāciju un taisnīgāku rezultātu.</w:t>
      </w:r>
    </w:p>
    <w:p w:rsidR="00B61FA8" w:rsidRPr="00014178" w:rsidRDefault="00E73A16" w:rsidP="00F41A7C">
      <w:pPr>
        <w:pStyle w:val="naisf"/>
        <w:spacing w:before="0" w:beforeAutospacing="0" w:after="0" w:afterAutospacing="0"/>
        <w:ind w:firstLine="644"/>
        <w:jc w:val="both"/>
        <w:rPr>
          <w:sz w:val="28"/>
          <w:szCs w:val="28"/>
        </w:rPr>
      </w:pPr>
      <w:r>
        <w:rPr>
          <w:sz w:val="28"/>
          <w:szCs w:val="28"/>
        </w:rPr>
        <w:t>Tieslietu ministrija sadarbībā ar</w:t>
      </w:r>
      <w:r w:rsidR="00B61FA8" w:rsidRPr="00014178">
        <w:rPr>
          <w:sz w:val="28"/>
          <w:szCs w:val="28"/>
        </w:rPr>
        <w:t xml:space="preserve"> Finanšu ministrij</w:t>
      </w:r>
      <w:r>
        <w:rPr>
          <w:sz w:val="28"/>
          <w:szCs w:val="28"/>
        </w:rPr>
        <w:t>u</w:t>
      </w:r>
      <w:r w:rsidR="00B61FA8" w:rsidRPr="00014178">
        <w:rPr>
          <w:sz w:val="28"/>
          <w:szCs w:val="28"/>
        </w:rPr>
        <w:t xml:space="preserve"> un Ekonomikas ministrij</w:t>
      </w:r>
      <w:r>
        <w:rPr>
          <w:sz w:val="28"/>
          <w:szCs w:val="28"/>
        </w:rPr>
        <w:t>u</w:t>
      </w:r>
      <w:r w:rsidR="00B61FA8" w:rsidRPr="00014178">
        <w:rPr>
          <w:sz w:val="28"/>
          <w:szCs w:val="28"/>
        </w:rPr>
        <w:t xml:space="preserve"> izvērtēja Tiesīb</w:t>
      </w:r>
      <w:r w:rsidR="00475B13" w:rsidRPr="00014178">
        <w:rPr>
          <w:sz w:val="28"/>
          <w:szCs w:val="28"/>
        </w:rPr>
        <w:t>sarga vēstulē minēto un sniedz šādu informāciju.</w:t>
      </w:r>
    </w:p>
    <w:p w:rsidR="00014178" w:rsidRDefault="00751B6E" w:rsidP="00F41A7C">
      <w:pPr>
        <w:pStyle w:val="naisf"/>
        <w:spacing w:before="0" w:beforeAutospacing="0" w:after="0" w:afterAutospacing="0"/>
        <w:ind w:firstLine="644"/>
        <w:jc w:val="both"/>
        <w:rPr>
          <w:sz w:val="28"/>
          <w:szCs w:val="28"/>
        </w:rPr>
      </w:pPr>
      <w:r w:rsidRPr="00014178">
        <w:rPr>
          <w:sz w:val="28"/>
          <w:szCs w:val="28"/>
        </w:rPr>
        <w:t>Saeima, pieņemot likumu „Par zemes reformu Latvijas Republikas pilsētās” (turpmāk – likums), bija izstrādājusi mehānismu</w:t>
      </w:r>
      <w:r w:rsidR="005878F8">
        <w:rPr>
          <w:sz w:val="28"/>
          <w:szCs w:val="28"/>
        </w:rPr>
        <w:t xml:space="preserve">, </w:t>
      </w:r>
      <w:r w:rsidRPr="00014178">
        <w:rPr>
          <w:sz w:val="28"/>
          <w:szCs w:val="28"/>
        </w:rPr>
        <w:t xml:space="preserve">kā kompensēt bijušajiem zemes īpašniekiem un viņu mantiniekiem neatgūtās zemes apmēru, kā arī tika dota iespēja noteiktajā termiņā saņemt šo kompensāciju. Likuma 2. pants nosaka, ka zemes </w:t>
      </w:r>
      <w:bookmarkStart w:id="3" w:name="bkm22"/>
      <w:r w:rsidR="00014178" w:rsidRPr="00014178">
        <w:rPr>
          <w:sz w:val="28"/>
          <w:szCs w:val="28"/>
        </w:rPr>
        <w:t>reformas mērķis ir pakāpeniskas valsts īpašuma denacionalizācijas, konversijas, privatizācijas un nelikumīgi atsavinātu zemes īpašumu atdošanas gaitā pārkārtot zemes īpašuma un zemes lietošanas tiesiskās, sociālās un ekonomiskās attiecības pilsētās, lai veicinātu sabiedrības interesēm atbilstošas pilsētu apbūves veidošanos, zemes aizsardzību un racionālu izmantošanu.</w:t>
      </w:r>
      <w:bookmarkEnd w:id="3"/>
      <w:r w:rsidR="00014178" w:rsidRPr="00014178">
        <w:rPr>
          <w:sz w:val="28"/>
          <w:szCs w:val="28"/>
        </w:rPr>
        <w:t xml:space="preserve"> Nenosakot </w:t>
      </w:r>
      <w:r w:rsidR="00014178">
        <w:rPr>
          <w:sz w:val="28"/>
          <w:szCs w:val="28"/>
        </w:rPr>
        <w:t>konkrētus termiņus zemes reformas norisei, netiktu īstenots likuma mērķis.</w:t>
      </w:r>
    </w:p>
    <w:p w:rsidR="00014178" w:rsidRPr="00014178" w:rsidRDefault="00014178" w:rsidP="00F41A7C">
      <w:pPr>
        <w:pStyle w:val="naisf"/>
        <w:spacing w:before="0" w:beforeAutospacing="0" w:after="0" w:afterAutospacing="0"/>
        <w:ind w:firstLine="644"/>
        <w:jc w:val="both"/>
        <w:rPr>
          <w:sz w:val="28"/>
          <w:szCs w:val="28"/>
        </w:rPr>
      </w:pPr>
      <w:r>
        <w:rPr>
          <w:sz w:val="28"/>
          <w:szCs w:val="28"/>
        </w:rPr>
        <w:t xml:space="preserve">Latvijas </w:t>
      </w:r>
      <w:r w:rsidR="005878F8">
        <w:rPr>
          <w:sz w:val="28"/>
          <w:szCs w:val="28"/>
        </w:rPr>
        <w:t>R</w:t>
      </w:r>
      <w:r>
        <w:rPr>
          <w:sz w:val="28"/>
          <w:szCs w:val="28"/>
        </w:rPr>
        <w:t>epublikas Augstākās tiesas Senāta Civillietu departaments 2007. gada 31. janvāra spriedumā lietā SKC-48</w:t>
      </w:r>
      <w:r w:rsidR="00E73A16" w:rsidRPr="00E73A16">
        <w:rPr>
          <w:sz w:val="28"/>
          <w:szCs w:val="28"/>
        </w:rPr>
        <w:t xml:space="preserve"> </w:t>
      </w:r>
      <w:r w:rsidR="00E73A16">
        <w:rPr>
          <w:sz w:val="28"/>
          <w:szCs w:val="28"/>
        </w:rPr>
        <w:t>arī</w:t>
      </w:r>
      <w:r w:rsidR="00E73A16" w:rsidRPr="00E73A16">
        <w:rPr>
          <w:sz w:val="28"/>
          <w:szCs w:val="28"/>
        </w:rPr>
        <w:t xml:space="preserve"> </w:t>
      </w:r>
      <w:r w:rsidR="00E73A16">
        <w:rPr>
          <w:sz w:val="28"/>
          <w:szCs w:val="28"/>
        </w:rPr>
        <w:t>ir norādījis, ka „.. </w:t>
      </w:r>
      <w:r w:rsidR="005878F8">
        <w:rPr>
          <w:sz w:val="28"/>
          <w:szCs w:val="28"/>
        </w:rPr>
        <w:t>N</w:t>
      </w:r>
      <w:r>
        <w:rPr>
          <w:sz w:val="28"/>
          <w:szCs w:val="28"/>
        </w:rPr>
        <w:t>eapšaubāmi, ka kompensācijas izmaksa par īpašumu, kā arī līdzvērtīgas zemes</w:t>
      </w:r>
      <w:r w:rsidR="005878F8">
        <w:rPr>
          <w:sz w:val="28"/>
          <w:szCs w:val="28"/>
        </w:rPr>
        <w:t xml:space="preserve"> ierā</w:t>
      </w:r>
      <w:r w:rsidR="00283635">
        <w:rPr>
          <w:sz w:val="28"/>
          <w:szCs w:val="28"/>
        </w:rPr>
        <w:t>dīšana skar sabiedrības kopējās intereses. Bijušajiem zemes īpašniekiem un viņu mantiniekiem tika dota iespēja likumā noteiktajā kārtībā un termiņos pieprasīt zemi vai kompensāciju un šie jautājumi nav risināmi bezgalīgi, jo pretējā gadījumā zemes reforma nekad nebeigsies un netiks īstenots likuma 2. pantā noteiktais mērķis</w:t>
      </w:r>
      <w:r>
        <w:rPr>
          <w:sz w:val="28"/>
          <w:szCs w:val="28"/>
        </w:rPr>
        <w:t>”</w:t>
      </w:r>
      <w:r w:rsidR="00283635">
        <w:rPr>
          <w:sz w:val="28"/>
          <w:szCs w:val="28"/>
        </w:rPr>
        <w:t xml:space="preserve">. </w:t>
      </w:r>
    </w:p>
    <w:p w:rsidR="00475B13" w:rsidRPr="00014178" w:rsidRDefault="00475B13" w:rsidP="00F41A7C">
      <w:pPr>
        <w:pStyle w:val="naisf"/>
        <w:spacing w:before="0" w:beforeAutospacing="0" w:after="0" w:afterAutospacing="0"/>
        <w:ind w:firstLine="644"/>
        <w:jc w:val="both"/>
        <w:rPr>
          <w:sz w:val="28"/>
          <w:szCs w:val="28"/>
        </w:rPr>
      </w:pPr>
      <w:r w:rsidRPr="00014178">
        <w:rPr>
          <w:sz w:val="28"/>
          <w:szCs w:val="28"/>
        </w:rPr>
        <w:t>No likuma  12. panta secināms</w:t>
      </w:r>
      <w:r w:rsidR="005878F8">
        <w:rPr>
          <w:sz w:val="28"/>
          <w:szCs w:val="28"/>
        </w:rPr>
        <w:t>,</w:t>
      </w:r>
      <w:r w:rsidRPr="00014178">
        <w:rPr>
          <w:sz w:val="28"/>
          <w:szCs w:val="28"/>
        </w:rPr>
        <w:t xml:space="preserve"> ka gadījumos, kad zemes īpašuma tiesības nav atjaunojamas, bijušajam zemes īpašniekam ir tiesības vai nu saņemt līdzvērtīgu zemes gabalu, vai arī saņemt kompensāciju Ministru kabineta noteiktajos apmēros un termiņos un likumā noteiktajā kārtībā.</w:t>
      </w:r>
    </w:p>
    <w:p w:rsidR="00475B13" w:rsidRDefault="00475B13" w:rsidP="00F41A7C">
      <w:pPr>
        <w:pStyle w:val="naisf"/>
        <w:spacing w:before="0" w:beforeAutospacing="0" w:after="0" w:afterAutospacing="0"/>
        <w:ind w:firstLine="644"/>
        <w:jc w:val="both"/>
        <w:rPr>
          <w:sz w:val="28"/>
          <w:szCs w:val="28"/>
        </w:rPr>
      </w:pPr>
      <w:r w:rsidRPr="00014178">
        <w:rPr>
          <w:sz w:val="28"/>
          <w:szCs w:val="28"/>
        </w:rPr>
        <w:lastRenderedPageBreak/>
        <w:t>Satversmes tiesa 2003.gada 25. marta spriedumā lietā Nr. 2002-12-01 „Par likuma „Par zemes reformu Latvijas Republikas pilsētās” 12. panta pirmās daļas atbilstību Latvijas Republikas Satversmes 1. </w:t>
      </w:r>
      <w:r w:rsidR="00751B6E" w:rsidRPr="00014178">
        <w:rPr>
          <w:sz w:val="28"/>
          <w:szCs w:val="28"/>
        </w:rPr>
        <w:t>un 105. </w:t>
      </w:r>
      <w:r w:rsidRPr="00014178">
        <w:rPr>
          <w:sz w:val="28"/>
          <w:szCs w:val="28"/>
        </w:rPr>
        <w:t>panta</w:t>
      </w:r>
      <w:r w:rsidR="00751B6E" w:rsidRPr="00014178">
        <w:rPr>
          <w:sz w:val="28"/>
          <w:szCs w:val="28"/>
        </w:rPr>
        <w:t>m”</w:t>
      </w:r>
      <w:r w:rsidRPr="00014178">
        <w:rPr>
          <w:sz w:val="28"/>
          <w:szCs w:val="28"/>
        </w:rPr>
        <w:t xml:space="preserve"> </w:t>
      </w:r>
      <w:r w:rsidR="00751B6E" w:rsidRPr="00014178">
        <w:rPr>
          <w:sz w:val="28"/>
          <w:szCs w:val="28"/>
        </w:rPr>
        <w:t>secinājumu daļas 1. punktā atzinusi, ka no Latvijas Republikas Satversmes 1. panta izrietošais taisnīguma princips un samērīguma princips zemes reformas laikā neprasa, lai Latvijas valsts visiem bijušajiem īpašniekiem vai viņu mantiniekiem atjaunotu īpašuma tiesības uz zemi vai atlīdzinātu tās vērtību pilnā apmērā. Tāpat minētajā spriedumā norādīts, ka Latvijas Republikai nav iespēju un nav arī pienākuma pilnīgi atlīdzināt visus zaudējumus, kas personām nodarīti okupācijas varas darbību rezultātā.</w:t>
      </w:r>
    </w:p>
    <w:p w:rsidR="00E820D7" w:rsidRDefault="00E820D7" w:rsidP="00F41A7C">
      <w:pPr>
        <w:pStyle w:val="naisf"/>
        <w:spacing w:before="0" w:beforeAutospacing="0" w:after="0" w:afterAutospacing="0"/>
        <w:ind w:firstLine="644"/>
        <w:jc w:val="both"/>
        <w:rPr>
          <w:sz w:val="28"/>
          <w:szCs w:val="28"/>
        </w:rPr>
      </w:pPr>
      <w:r>
        <w:rPr>
          <w:sz w:val="28"/>
          <w:szCs w:val="28"/>
        </w:rPr>
        <w:t>Uzskatām, ka</w:t>
      </w:r>
      <w:r w:rsidR="005878F8">
        <w:rPr>
          <w:sz w:val="28"/>
          <w:szCs w:val="28"/>
        </w:rPr>
        <w:t>,</w:t>
      </w:r>
      <w:r>
        <w:rPr>
          <w:sz w:val="28"/>
          <w:szCs w:val="28"/>
        </w:rPr>
        <w:t xml:space="preserve"> Ministru</w:t>
      </w:r>
      <w:r w:rsidR="005878F8">
        <w:rPr>
          <w:sz w:val="28"/>
          <w:szCs w:val="28"/>
        </w:rPr>
        <w:t xml:space="preserve"> kabinetam 2008. gada 19. maijā</w:t>
      </w:r>
      <w:r>
        <w:rPr>
          <w:sz w:val="28"/>
          <w:szCs w:val="28"/>
        </w:rPr>
        <w:t xml:space="preserve"> pieņemot noteikumus Nr.</w:t>
      </w:r>
      <w:r w:rsidR="006F1B33">
        <w:rPr>
          <w:sz w:val="28"/>
          <w:szCs w:val="28"/>
        </w:rPr>
        <w:t> </w:t>
      </w:r>
      <w:r>
        <w:rPr>
          <w:sz w:val="28"/>
          <w:szCs w:val="28"/>
        </w:rPr>
        <w:t>352 „Līdzvērtīgas zemes kompensācijas fonda izveidošanas kārtība, kā arī kārtība, kādā aprēķina bijušā zemes īpašuma vērtību, kādā tā bija 1940. gada 21. jūnijā, un kārtība, kādā tiek piešķirta līdzvērtīga zemes bijušajiem zemes īpašniekiem un viņu mantiniekiem”</w:t>
      </w:r>
      <w:r w:rsidR="006F1B33">
        <w:rPr>
          <w:sz w:val="28"/>
          <w:szCs w:val="28"/>
        </w:rPr>
        <w:t xml:space="preserve"> (turpmāk – noteikumi Nr. 352), ir atrasts pietiekami taisnīgs risinājums, lai atdotu bez atlīdzības atsavinātos zemes īpašumus bijušajiem zemes īpašniekiem vai viņu mantiniekiem, piešķirot viņiem līdzvērtīgu zemi.</w:t>
      </w:r>
    </w:p>
    <w:p w:rsidR="006F1B33" w:rsidRDefault="006F1B33" w:rsidP="00F41A7C">
      <w:pPr>
        <w:pStyle w:val="naisf"/>
        <w:spacing w:before="0" w:beforeAutospacing="0" w:after="0" w:afterAutospacing="0"/>
        <w:ind w:firstLine="644"/>
        <w:jc w:val="both"/>
        <w:rPr>
          <w:sz w:val="28"/>
          <w:szCs w:val="28"/>
        </w:rPr>
      </w:pPr>
      <w:r>
        <w:rPr>
          <w:sz w:val="28"/>
          <w:szCs w:val="28"/>
        </w:rPr>
        <w:t>Noteikumu Nr. 352 18. punktā noteikts, ka pretendents no zemes gabalu piedāvājuma izvēl</w:t>
      </w:r>
      <w:r w:rsidR="005878F8">
        <w:rPr>
          <w:sz w:val="28"/>
          <w:szCs w:val="28"/>
        </w:rPr>
        <w:t>a</w:t>
      </w:r>
      <w:r>
        <w:rPr>
          <w:sz w:val="28"/>
          <w:szCs w:val="28"/>
        </w:rPr>
        <w:t xml:space="preserve">s zemes gabalus, kuru kadastrālā vērtība </w:t>
      </w:r>
      <w:r w:rsidR="005878F8">
        <w:rPr>
          <w:sz w:val="28"/>
          <w:szCs w:val="28"/>
        </w:rPr>
        <w:t xml:space="preserve">atbilst vērtībai </w:t>
      </w:r>
      <w:r>
        <w:rPr>
          <w:sz w:val="28"/>
          <w:szCs w:val="28"/>
        </w:rPr>
        <w:t>uz 1940. gada 21. jūliju vai ir zemāka par to. Noteikumu Nr. 352 21. punktā paredzēt</w:t>
      </w:r>
      <w:r w:rsidR="005878F8">
        <w:rPr>
          <w:sz w:val="28"/>
          <w:szCs w:val="28"/>
        </w:rPr>
        <w:t xml:space="preserve">i </w:t>
      </w:r>
      <w:r>
        <w:rPr>
          <w:sz w:val="28"/>
          <w:szCs w:val="28"/>
        </w:rPr>
        <w:t>arī gadījum</w:t>
      </w:r>
      <w:r w:rsidR="005878F8">
        <w:rPr>
          <w:sz w:val="28"/>
          <w:szCs w:val="28"/>
        </w:rPr>
        <w:t>i</w:t>
      </w:r>
      <w:r>
        <w:rPr>
          <w:sz w:val="28"/>
          <w:szCs w:val="28"/>
        </w:rPr>
        <w:t>, kad bijušais zemes īpašnieks vai viņu mantinieks ir tiesīgs izvēlēties līdzvērtīgu zemes gabalu, kura kadastrālā vērtība pārsniedz bijušā īpašuma vērtību.</w:t>
      </w:r>
    </w:p>
    <w:p w:rsidR="006F1B33" w:rsidRDefault="002C4824" w:rsidP="00E820D7">
      <w:pPr>
        <w:pStyle w:val="naisf"/>
        <w:spacing w:before="0" w:beforeAutospacing="0" w:after="0" w:afterAutospacing="0"/>
        <w:ind w:firstLine="644"/>
        <w:jc w:val="both"/>
        <w:rPr>
          <w:sz w:val="28"/>
          <w:szCs w:val="28"/>
        </w:rPr>
      </w:pPr>
      <w:r>
        <w:rPr>
          <w:sz w:val="28"/>
          <w:szCs w:val="28"/>
        </w:rPr>
        <w:t xml:space="preserve">Tuvojoties zemes reformas noslēgumam, persona nevar paļauties uz pilnīgu bijušā īpašuma vērtības atlīdzināšanu gan tāpēc, ka ir ierobežots līdzvērtīgo zemesgabalu skaits, gan arī tāpēc, ka likuma „Valsts un pašvaldību īpašuma privatizācijas un privatizācijas sertifikātu izmantošanas pabeigšanas likums” 27. pantā vēl 2005. gada 1. septembrī tika noteikts </w:t>
      </w:r>
      <w:r w:rsidR="00E820D7">
        <w:rPr>
          <w:sz w:val="28"/>
          <w:szCs w:val="28"/>
        </w:rPr>
        <w:t xml:space="preserve">galējais termiņš pieteikuma iesniegšanai par bijušā īpašuma kompensēšanu ar privatizācijas sertifikātiem – 2006. gada 28. aprīlis. Pēc minētā termiņa pieteikties privatizācijas sertifikātu piešķiršanai nav iespējams. Cita veida </w:t>
      </w:r>
      <w:r w:rsidR="005878F8">
        <w:rPr>
          <w:sz w:val="28"/>
          <w:szCs w:val="28"/>
        </w:rPr>
        <w:t xml:space="preserve">naudas </w:t>
      </w:r>
      <w:r w:rsidR="00E820D7">
        <w:rPr>
          <w:sz w:val="28"/>
          <w:szCs w:val="28"/>
        </w:rPr>
        <w:t>kompensāciju ne likums, ne Ministru kabineta 1997. gada 10. maija noteikumi Nr. 171 „</w:t>
      </w:r>
      <w:r w:rsidR="00E820D7" w:rsidRPr="009934EB">
        <w:rPr>
          <w:sz w:val="28"/>
          <w:szCs w:val="28"/>
        </w:rPr>
        <w:t>Noteikumi par kompensācijas aprēķināšanu bijušajiem zemes īpašniekiem vai viņu mantiniekiem un maksas noteikšanu par īpašumā nodoto zemi pilsētās</w:t>
      </w:r>
      <w:r w:rsidR="00E820D7">
        <w:rPr>
          <w:sz w:val="28"/>
          <w:szCs w:val="28"/>
        </w:rPr>
        <w:t xml:space="preserve">” neparedz. </w:t>
      </w:r>
    </w:p>
    <w:p w:rsidR="006F1B33" w:rsidRPr="00014178" w:rsidRDefault="006F1B33" w:rsidP="006F1B33">
      <w:pPr>
        <w:pStyle w:val="naisf"/>
        <w:spacing w:before="0" w:beforeAutospacing="0" w:after="0" w:afterAutospacing="0"/>
        <w:ind w:firstLine="644"/>
        <w:jc w:val="both"/>
        <w:rPr>
          <w:sz w:val="28"/>
          <w:szCs w:val="28"/>
        </w:rPr>
      </w:pPr>
      <w:r>
        <w:rPr>
          <w:sz w:val="28"/>
          <w:szCs w:val="28"/>
        </w:rPr>
        <w:t>Vēršam uzmanību uz to, ka zemes reform</w:t>
      </w:r>
      <w:r w:rsidR="005878F8">
        <w:rPr>
          <w:sz w:val="28"/>
          <w:szCs w:val="28"/>
        </w:rPr>
        <w:t>as</w:t>
      </w:r>
      <w:r>
        <w:rPr>
          <w:sz w:val="28"/>
          <w:szCs w:val="28"/>
        </w:rPr>
        <w:t xml:space="preserve"> beigu posmā nav pieļaujams mainīt zemes reformas pamatnosacījumus, kā arī </w:t>
      </w:r>
      <w:r w:rsidR="00BE2F7F" w:rsidRPr="00BE2F7F">
        <w:rPr>
          <w:sz w:val="28"/>
          <w:szCs w:val="28"/>
        </w:rPr>
        <w:t>izveidot jaunu kompensācijas mehānismu</w:t>
      </w:r>
      <w:r w:rsidR="00E32CC8">
        <w:rPr>
          <w:sz w:val="28"/>
          <w:szCs w:val="28"/>
        </w:rPr>
        <w:t>, kas nostādīs nevienlīdzīgās pozīcijās esošos un bijušos pretendentus uz kompensāciju</w:t>
      </w:r>
      <w:r w:rsidR="00BE2F7F" w:rsidRPr="00BE2F7F">
        <w:rPr>
          <w:sz w:val="28"/>
          <w:szCs w:val="28"/>
        </w:rPr>
        <w:t>.</w:t>
      </w:r>
    </w:p>
    <w:p w:rsidR="00E820D7" w:rsidRDefault="00E820D7" w:rsidP="00E820D7">
      <w:pPr>
        <w:pStyle w:val="naisf"/>
        <w:spacing w:before="0" w:beforeAutospacing="0" w:after="0" w:afterAutospacing="0"/>
        <w:ind w:firstLine="644"/>
        <w:jc w:val="both"/>
        <w:rPr>
          <w:sz w:val="28"/>
          <w:szCs w:val="28"/>
        </w:rPr>
      </w:pPr>
      <w:r>
        <w:rPr>
          <w:sz w:val="28"/>
          <w:szCs w:val="28"/>
        </w:rPr>
        <w:t xml:space="preserve">Uzskatām, ka nav tiesiska pamata atjaunot termiņu pieteikumu </w:t>
      </w:r>
      <w:r w:rsidR="005878F8">
        <w:rPr>
          <w:sz w:val="28"/>
          <w:szCs w:val="28"/>
        </w:rPr>
        <w:t xml:space="preserve">iesniegšanai </w:t>
      </w:r>
      <w:r>
        <w:rPr>
          <w:sz w:val="28"/>
          <w:szCs w:val="28"/>
        </w:rPr>
        <w:t xml:space="preserve">privatizācijas sertifikātu piešķiršanai. Ņemot vērā to, ka privatizācijas sertifikāti ir maksāšanas līdzeklis (naudas ekvivalents) vienīgi ekonomiskās reformas ietvaros, gadījumā, ja tiktu atjaunots privatizācijas sertifikātu piešķiršanas termiņš, valsts nevarētu garantēt to izmantošanu, jo būtiski samazinās valsts vai pašvaldību </w:t>
      </w:r>
      <w:r>
        <w:rPr>
          <w:sz w:val="28"/>
          <w:szCs w:val="28"/>
        </w:rPr>
        <w:lastRenderedPageBreak/>
        <w:t>īpašumu skaits, kurus privatizējot</w:t>
      </w:r>
      <w:r w:rsidR="005878F8">
        <w:rPr>
          <w:sz w:val="28"/>
          <w:szCs w:val="28"/>
        </w:rPr>
        <w:t>,</w:t>
      </w:r>
      <w:r>
        <w:rPr>
          <w:sz w:val="28"/>
          <w:szCs w:val="28"/>
        </w:rPr>
        <w:t xml:space="preserve"> kā maksāšanas līdzekli var izmantot privatizācijas sertifikātus.</w:t>
      </w:r>
    </w:p>
    <w:p w:rsidR="00B509B1" w:rsidRPr="001D6A83" w:rsidRDefault="00586B61" w:rsidP="00E820D7">
      <w:pPr>
        <w:pStyle w:val="naisf"/>
        <w:spacing w:before="0" w:beforeAutospacing="0" w:after="0" w:afterAutospacing="0"/>
        <w:ind w:firstLine="644"/>
        <w:jc w:val="both"/>
        <w:rPr>
          <w:sz w:val="28"/>
          <w:szCs w:val="28"/>
        </w:rPr>
      </w:pPr>
      <w:r w:rsidRPr="001D6A83">
        <w:rPr>
          <w:sz w:val="28"/>
          <w:szCs w:val="28"/>
        </w:rPr>
        <w:t>Ņemot vērā minēto, uzskatām, ka likumos un normatīvajos aktos ietvert</w:t>
      </w:r>
      <w:r w:rsidR="00CB07B2" w:rsidRPr="001D6A83">
        <w:rPr>
          <w:sz w:val="28"/>
          <w:szCs w:val="28"/>
        </w:rPr>
        <w:t>ai</w:t>
      </w:r>
      <w:r w:rsidRPr="001D6A83">
        <w:rPr>
          <w:sz w:val="28"/>
          <w:szCs w:val="28"/>
        </w:rPr>
        <w:t xml:space="preserve">s regulējums </w:t>
      </w:r>
      <w:r w:rsidR="00CB07B2" w:rsidRPr="001D6A83">
        <w:rPr>
          <w:sz w:val="28"/>
          <w:szCs w:val="28"/>
        </w:rPr>
        <w:t xml:space="preserve">ir </w:t>
      </w:r>
      <w:r w:rsidRPr="001D6A83">
        <w:rPr>
          <w:sz w:val="28"/>
          <w:szCs w:val="28"/>
        </w:rPr>
        <w:t xml:space="preserve">pietiekami taisnīgs. Jāņem vērā </w:t>
      </w:r>
      <w:r w:rsidR="00E73A16">
        <w:rPr>
          <w:sz w:val="28"/>
          <w:szCs w:val="28"/>
        </w:rPr>
        <w:t>fakt</w:t>
      </w:r>
      <w:r w:rsidRPr="001D6A83">
        <w:rPr>
          <w:sz w:val="28"/>
          <w:szCs w:val="28"/>
        </w:rPr>
        <w:t>s, ka personai – bijuša</w:t>
      </w:r>
      <w:r w:rsidR="005878F8">
        <w:rPr>
          <w:sz w:val="28"/>
          <w:szCs w:val="28"/>
        </w:rPr>
        <w:t>ja</w:t>
      </w:r>
      <w:r w:rsidRPr="001D6A83">
        <w:rPr>
          <w:sz w:val="28"/>
          <w:szCs w:val="28"/>
        </w:rPr>
        <w:t>m zemes īpašniekam vai tā mantiniekam, kas pie</w:t>
      </w:r>
      <w:r w:rsidR="00E73A16">
        <w:rPr>
          <w:sz w:val="28"/>
          <w:szCs w:val="28"/>
        </w:rPr>
        <w:t>sakās</w:t>
      </w:r>
      <w:r w:rsidRPr="001D6A83">
        <w:rPr>
          <w:sz w:val="28"/>
          <w:szCs w:val="28"/>
        </w:rPr>
        <w:t xml:space="preserve"> zemes īpašuma tiesību atjaunošanai zemes reform</w:t>
      </w:r>
      <w:r w:rsidR="005878F8">
        <w:rPr>
          <w:sz w:val="28"/>
          <w:szCs w:val="28"/>
        </w:rPr>
        <w:t>as</w:t>
      </w:r>
      <w:r w:rsidRPr="001D6A83">
        <w:rPr>
          <w:sz w:val="28"/>
          <w:szCs w:val="28"/>
        </w:rPr>
        <w:t xml:space="preserve"> noslēgum</w:t>
      </w:r>
      <w:r w:rsidR="005878F8">
        <w:rPr>
          <w:sz w:val="28"/>
          <w:szCs w:val="28"/>
        </w:rPr>
        <w:t>a</w:t>
      </w:r>
      <w:r w:rsidRPr="001D6A83">
        <w:rPr>
          <w:sz w:val="28"/>
          <w:szCs w:val="28"/>
        </w:rPr>
        <w:t xml:space="preserve"> posmā, valsts nevar nodrošināt īpašuma tiesību atjaunošanu uz kādreizējo zemesgabalu, kā arī piešķirt līdzvērtīgu zemesgabalu</w:t>
      </w:r>
      <w:r w:rsidR="00CB07B2" w:rsidRPr="001D6A83">
        <w:rPr>
          <w:sz w:val="28"/>
          <w:szCs w:val="28"/>
        </w:rPr>
        <w:t>, jo īpašumtiesības var tikt atjaunotas</w:t>
      </w:r>
      <w:r w:rsidR="00E73A16">
        <w:rPr>
          <w:sz w:val="28"/>
          <w:szCs w:val="28"/>
        </w:rPr>
        <w:t xml:space="preserve"> arī</w:t>
      </w:r>
      <w:r w:rsidR="00CB07B2" w:rsidRPr="001D6A83">
        <w:rPr>
          <w:sz w:val="28"/>
          <w:szCs w:val="28"/>
        </w:rPr>
        <w:t xml:space="preserve"> citai persona</w:t>
      </w:r>
      <w:r w:rsidR="006E211F">
        <w:rPr>
          <w:sz w:val="28"/>
          <w:szCs w:val="28"/>
        </w:rPr>
        <w:t>i</w:t>
      </w:r>
      <w:r w:rsidR="00CB07B2" w:rsidRPr="001D6A83">
        <w:rPr>
          <w:sz w:val="28"/>
          <w:szCs w:val="28"/>
        </w:rPr>
        <w:t>, vai brīvo zemesgabalu</w:t>
      </w:r>
      <w:r w:rsidR="005878F8">
        <w:rPr>
          <w:sz w:val="28"/>
          <w:szCs w:val="28"/>
        </w:rPr>
        <w:t xml:space="preserve"> platības var nebūt pietiekamas</w:t>
      </w:r>
      <w:r w:rsidR="00CB07B2" w:rsidRPr="001D6A83">
        <w:rPr>
          <w:sz w:val="28"/>
          <w:szCs w:val="28"/>
        </w:rPr>
        <w:t xml:space="preserve"> kādreizēj</w:t>
      </w:r>
      <w:r w:rsidR="005878F8">
        <w:rPr>
          <w:sz w:val="28"/>
          <w:szCs w:val="28"/>
        </w:rPr>
        <w:t>ā</w:t>
      </w:r>
      <w:r w:rsidR="00CB07B2" w:rsidRPr="001D6A83">
        <w:rPr>
          <w:sz w:val="28"/>
          <w:szCs w:val="28"/>
        </w:rPr>
        <w:t xml:space="preserve"> zemes īpašuma vērtības kompensēšanai. Tomēr personai ir </w:t>
      </w:r>
      <w:r w:rsidR="00D81D39" w:rsidRPr="001D6A83">
        <w:rPr>
          <w:sz w:val="28"/>
          <w:szCs w:val="28"/>
        </w:rPr>
        <w:t>nodrošinātas</w:t>
      </w:r>
      <w:r w:rsidR="00CB07B2" w:rsidRPr="001D6A83">
        <w:rPr>
          <w:sz w:val="28"/>
          <w:szCs w:val="28"/>
        </w:rPr>
        <w:t xml:space="preserve"> tiesības </w:t>
      </w:r>
      <w:r w:rsidR="00D81D39" w:rsidRPr="001D6A83">
        <w:rPr>
          <w:sz w:val="28"/>
          <w:szCs w:val="28"/>
        </w:rPr>
        <w:t xml:space="preserve">pēc saviem ieskatiem </w:t>
      </w:r>
      <w:r w:rsidR="00CB07B2" w:rsidRPr="001D6A83">
        <w:rPr>
          <w:sz w:val="28"/>
          <w:szCs w:val="28"/>
        </w:rPr>
        <w:t>izvēlēties</w:t>
      </w:r>
      <w:r w:rsidR="00D81D39" w:rsidRPr="001D6A83">
        <w:rPr>
          <w:sz w:val="28"/>
          <w:szCs w:val="28"/>
        </w:rPr>
        <w:t xml:space="preserve"> zemesgabalu no Līdzvērtīgo zemju kompensācijas fonda zemesgabalu sarakstiem.</w:t>
      </w:r>
    </w:p>
    <w:p w:rsidR="00BE2F7F" w:rsidRDefault="00BE2F7F" w:rsidP="00E820D7">
      <w:pPr>
        <w:pStyle w:val="naisf"/>
        <w:spacing w:before="0" w:beforeAutospacing="0" w:after="0" w:afterAutospacing="0"/>
        <w:ind w:firstLine="644"/>
        <w:jc w:val="both"/>
        <w:rPr>
          <w:sz w:val="28"/>
          <w:szCs w:val="28"/>
        </w:rPr>
      </w:pPr>
      <w:r>
        <w:rPr>
          <w:sz w:val="28"/>
          <w:szCs w:val="28"/>
        </w:rPr>
        <w:t>Attiecībā uz Tiesībsarga vē</w:t>
      </w:r>
      <w:r w:rsidR="005878F8">
        <w:rPr>
          <w:sz w:val="28"/>
          <w:szCs w:val="28"/>
        </w:rPr>
        <w:t>stulē minēto E. </w:t>
      </w:r>
      <w:proofErr w:type="spellStart"/>
      <w:r w:rsidR="005878F8">
        <w:rPr>
          <w:sz w:val="28"/>
          <w:szCs w:val="28"/>
        </w:rPr>
        <w:t>Herndorfa</w:t>
      </w:r>
      <w:proofErr w:type="spellEnd"/>
      <w:r w:rsidR="005878F8">
        <w:rPr>
          <w:sz w:val="28"/>
          <w:szCs w:val="28"/>
        </w:rPr>
        <w:t xml:space="preserve"> lietu</w:t>
      </w:r>
      <w:r>
        <w:rPr>
          <w:sz w:val="28"/>
          <w:szCs w:val="28"/>
        </w:rPr>
        <w:t xml:space="preserve"> </w:t>
      </w:r>
      <w:r w:rsidR="00642DF7">
        <w:rPr>
          <w:sz w:val="28"/>
          <w:szCs w:val="28"/>
        </w:rPr>
        <w:t>informējam</w:t>
      </w:r>
      <w:r>
        <w:rPr>
          <w:sz w:val="28"/>
          <w:szCs w:val="28"/>
        </w:rPr>
        <w:t xml:space="preserve">, ka </w:t>
      </w:r>
      <w:r w:rsidR="00872DBB">
        <w:rPr>
          <w:sz w:val="28"/>
          <w:szCs w:val="28"/>
        </w:rPr>
        <w:t>E. </w:t>
      </w:r>
      <w:proofErr w:type="spellStart"/>
      <w:r w:rsidR="00872DBB">
        <w:rPr>
          <w:sz w:val="28"/>
          <w:szCs w:val="28"/>
        </w:rPr>
        <w:t>Herndorfa</w:t>
      </w:r>
      <w:proofErr w:type="spellEnd"/>
      <w:r w:rsidR="00872DBB">
        <w:rPr>
          <w:sz w:val="28"/>
          <w:szCs w:val="28"/>
        </w:rPr>
        <w:t xml:space="preserve"> pārstāvim tika nosūtīts Līdzvērtīgas zemes kompensācijas fonda zemesgabalu saraksts Nr.4 (apstiprināts ar Rīgas domes 2006. gada 6. jūnija lēmumu Nr. 1150), kurā ir iekļauti divi zemesgabali Gobas ielas rajonā, kuru platības (5900m</w:t>
      </w:r>
      <w:r w:rsidR="00872DBB" w:rsidRPr="00872DBB">
        <w:rPr>
          <w:sz w:val="28"/>
          <w:szCs w:val="28"/>
          <w:vertAlign w:val="superscript"/>
        </w:rPr>
        <w:t>2</w:t>
      </w:r>
      <w:r w:rsidR="00872DBB">
        <w:rPr>
          <w:sz w:val="28"/>
          <w:szCs w:val="28"/>
        </w:rPr>
        <w:t xml:space="preserve"> un 6000 m</w:t>
      </w:r>
      <w:r w:rsidR="00872DBB" w:rsidRPr="00872DBB">
        <w:rPr>
          <w:sz w:val="28"/>
          <w:szCs w:val="28"/>
          <w:vertAlign w:val="superscript"/>
        </w:rPr>
        <w:t>2</w:t>
      </w:r>
      <w:r w:rsidR="00872DBB">
        <w:rPr>
          <w:sz w:val="28"/>
          <w:szCs w:val="28"/>
        </w:rPr>
        <w:t>) un zemes kadastrālā vērtība (15 </w:t>
      </w:r>
      <w:smartTag w:uri="schemas-tilde-lv/tildestengine" w:element="currency2">
        <w:smartTagPr>
          <w:attr w:name="currency_text" w:val="lati"/>
          <w:attr w:name="currency_value" w:val="340.00"/>
          <w:attr w:name="currency_key" w:val="LVL"/>
          <w:attr w:name="currency_id" w:val="48"/>
        </w:smartTagPr>
        <w:r w:rsidR="00872DBB">
          <w:rPr>
            <w:sz w:val="28"/>
            <w:szCs w:val="28"/>
          </w:rPr>
          <w:t>340,00 lati</w:t>
        </w:r>
      </w:smartTag>
      <w:r w:rsidR="00872DBB">
        <w:rPr>
          <w:sz w:val="28"/>
          <w:szCs w:val="28"/>
        </w:rPr>
        <w:t xml:space="preserve"> un 15 </w:t>
      </w:r>
      <w:smartTag w:uri="schemas-tilde-lv/tildestengine" w:element="currency2">
        <w:smartTagPr>
          <w:attr w:name="currency_text" w:val="lati"/>
          <w:attr w:name="currency_value" w:val="600.00"/>
          <w:attr w:name="currency_key" w:val="LVL"/>
          <w:attr w:name="currency_id" w:val="48"/>
        </w:smartTagPr>
        <w:r w:rsidR="00872DBB">
          <w:rPr>
            <w:sz w:val="28"/>
            <w:szCs w:val="28"/>
          </w:rPr>
          <w:t>600,00 lati</w:t>
        </w:r>
      </w:smartTag>
      <w:r w:rsidR="00872DBB">
        <w:rPr>
          <w:sz w:val="28"/>
          <w:szCs w:val="28"/>
        </w:rPr>
        <w:t>) pārsniedz bijušā zemes īpašuma platību un vērtību. Tomēr neskatoties uz minēto, persona izvēlējās zemesgabalu, kura platība un kadastrālā vērtība ir mazāka par bijušā zemes īpašuma platību un vērtību, bet kurš atrodas pilsētas centra tuvumā – Ķīpsalā, Zvejnieku ielā 22. Minētā zemesgabala kadastrālā vērtība 2006. gada 6. jūnijā bija 10 </w:t>
      </w:r>
      <w:smartTag w:uri="schemas-tilde-lv/tildestengine" w:element="currency2">
        <w:smartTagPr>
          <w:attr w:name="currency_text" w:val="lati"/>
          <w:attr w:name="currency_value" w:val="155.00"/>
          <w:attr w:name="currency_key" w:val="LVL"/>
          <w:attr w:name="currency_id" w:val="48"/>
        </w:smartTagPr>
        <w:r w:rsidR="00872DBB">
          <w:rPr>
            <w:sz w:val="28"/>
            <w:szCs w:val="28"/>
          </w:rPr>
          <w:t>155,00 lati</w:t>
        </w:r>
      </w:smartTag>
      <w:r w:rsidR="00872DBB">
        <w:rPr>
          <w:sz w:val="28"/>
          <w:szCs w:val="28"/>
        </w:rPr>
        <w:t>, lēmuma pieņemšanas brīdī – 2007. gad</w:t>
      </w:r>
      <w:r w:rsidR="00E73A16">
        <w:rPr>
          <w:sz w:val="28"/>
          <w:szCs w:val="28"/>
        </w:rPr>
        <w:t>ā</w:t>
      </w:r>
      <w:r w:rsidR="00872DBB">
        <w:rPr>
          <w:sz w:val="28"/>
          <w:szCs w:val="28"/>
        </w:rPr>
        <w:t xml:space="preserve"> tā vērtība sasniedza 10 205,00 latus, bet 2009. gadā minēt</w:t>
      </w:r>
      <w:r w:rsidR="005878F8">
        <w:rPr>
          <w:sz w:val="28"/>
          <w:szCs w:val="28"/>
        </w:rPr>
        <w:t>ā</w:t>
      </w:r>
      <w:r w:rsidR="00872DBB">
        <w:rPr>
          <w:sz w:val="28"/>
          <w:szCs w:val="28"/>
        </w:rPr>
        <w:t xml:space="preserve"> zemesgabala kadastrālā vērtība jau ir 101 </w:t>
      </w:r>
      <w:smartTag w:uri="schemas-tilde-lv/tildestengine" w:element="currency2">
        <w:smartTagPr>
          <w:attr w:name="currency_text" w:val="lati"/>
          <w:attr w:name="currency_value" w:val="687.00"/>
          <w:attr w:name="currency_key" w:val="LVL"/>
          <w:attr w:name="currency_id" w:val="48"/>
        </w:smartTagPr>
        <w:r w:rsidR="00872DBB">
          <w:rPr>
            <w:sz w:val="28"/>
            <w:szCs w:val="28"/>
          </w:rPr>
          <w:t>687,00 lati</w:t>
        </w:r>
      </w:smartTag>
      <w:r w:rsidR="00872DBB">
        <w:rPr>
          <w:sz w:val="28"/>
          <w:szCs w:val="28"/>
        </w:rPr>
        <w:t>, tas ir, gan</w:t>
      </w:r>
      <w:r w:rsidR="005878F8">
        <w:rPr>
          <w:sz w:val="28"/>
          <w:szCs w:val="28"/>
        </w:rPr>
        <w:t>drīz desmit reizes lielāka</w:t>
      </w:r>
      <w:r w:rsidR="00872DBB">
        <w:rPr>
          <w:sz w:val="28"/>
          <w:szCs w:val="28"/>
        </w:rPr>
        <w:t xml:space="preserve"> nekā pirms trijiem gadiem.</w:t>
      </w:r>
    </w:p>
    <w:p w:rsidR="00872DBB" w:rsidRDefault="00872DBB" w:rsidP="00E820D7">
      <w:pPr>
        <w:pStyle w:val="naisf"/>
        <w:spacing w:before="0" w:beforeAutospacing="0" w:after="0" w:afterAutospacing="0"/>
        <w:ind w:firstLine="644"/>
        <w:jc w:val="both"/>
        <w:rPr>
          <w:sz w:val="28"/>
          <w:szCs w:val="28"/>
        </w:rPr>
      </w:pPr>
      <w:r>
        <w:rPr>
          <w:sz w:val="28"/>
          <w:szCs w:val="28"/>
        </w:rPr>
        <w:t xml:space="preserve">Ņemot vērā minēto, kā arī faktu, ka E. Herndorfa pārstāvis Rīgas pilsētas zemes komisijas 2007. gada 27. februāra lēmumu Nr.4/3 nav </w:t>
      </w:r>
      <w:r w:rsidR="006902B4">
        <w:rPr>
          <w:sz w:val="28"/>
          <w:szCs w:val="28"/>
        </w:rPr>
        <w:t>apstrīdējis un tas ir stājies likumīgā spēkā, uzskatām, ka viņam nav objektīva pamata papildus kompensācijas pieprasīšanai.</w:t>
      </w:r>
    </w:p>
    <w:p w:rsidR="00E32CC8" w:rsidRPr="00872DBB" w:rsidRDefault="006E211F" w:rsidP="00E820D7">
      <w:pPr>
        <w:pStyle w:val="naisf"/>
        <w:spacing w:before="0" w:beforeAutospacing="0" w:after="0" w:afterAutospacing="0"/>
        <w:ind w:firstLine="644"/>
        <w:jc w:val="both"/>
        <w:rPr>
          <w:sz w:val="28"/>
          <w:szCs w:val="28"/>
        </w:rPr>
      </w:pPr>
      <w:r>
        <w:rPr>
          <w:sz w:val="28"/>
          <w:szCs w:val="28"/>
        </w:rPr>
        <w:t>Ņemot vērā iepriekš minēto, informējam, ka</w:t>
      </w:r>
      <w:r w:rsidR="00E32CC8">
        <w:rPr>
          <w:sz w:val="28"/>
          <w:szCs w:val="28"/>
        </w:rPr>
        <w:t xml:space="preserve"> Tieslietu ministrijai, Finanšu ministrijai un Ekonomikas ministrijai ir vienots viedokli</w:t>
      </w:r>
      <w:r w:rsidR="00642DF7">
        <w:rPr>
          <w:sz w:val="28"/>
          <w:szCs w:val="28"/>
        </w:rPr>
        <w:t>s</w:t>
      </w:r>
      <w:r w:rsidR="00E32CC8">
        <w:rPr>
          <w:sz w:val="28"/>
          <w:szCs w:val="28"/>
        </w:rPr>
        <w:t xml:space="preserve"> par to, ka kompensācijas mehānisms ir uzskatāms par pilnīgu un taisnīgu, kā arī par to, ka papildu darbības esošā regulējuma mainīšanai nav nepieciešamas.</w:t>
      </w:r>
    </w:p>
    <w:p w:rsidR="000228E4" w:rsidRDefault="000228E4" w:rsidP="00751B6E">
      <w:pPr>
        <w:pStyle w:val="naisf"/>
        <w:spacing w:before="0" w:beforeAutospacing="0" w:after="0" w:afterAutospacing="0"/>
        <w:ind w:firstLine="644"/>
        <w:jc w:val="both"/>
        <w:rPr>
          <w:sz w:val="28"/>
          <w:szCs w:val="28"/>
        </w:rPr>
      </w:pPr>
    </w:p>
    <w:p w:rsidR="00577F48" w:rsidRPr="00014178" w:rsidRDefault="00577F48" w:rsidP="00751B6E">
      <w:pPr>
        <w:pStyle w:val="naisf"/>
        <w:spacing w:before="0" w:beforeAutospacing="0" w:after="0" w:afterAutospacing="0"/>
        <w:ind w:firstLine="644"/>
        <w:jc w:val="both"/>
        <w:rPr>
          <w:sz w:val="28"/>
          <w:szCs w:val="28"/>
        </w:rPr>
      </w:pPr>
    </w:p>
    <w:p w:rsidR="00A040B7" w:rsidRDefault="00A040B7" w:rsidP="006C5272">
      <w:pPr>
        <w:jc w:val="both"/>
        <w:rPr>
          <w:sz w:val="28"/>
          <w:szCs w:val="28"/>
        </w:rPr>
      </w:pPr>
      <w:r w:rsidRPr="00014178">
        <w:rPr>
          <w:sz w:val="28"/>
          <w:szCs w:val="28"/>
        </w:rPr>
        <w:t>Tieslietu ministrs</w:t>
      </w:r>
      <w:r w:rsidR="00267530" w:rsidRPr="00014178">
        <w:rPr>
          <w:sz w:val="28"/>
          <w:szCs w:val="28"/>
        </w:rPr>
        <w:tab/>
      </w:r>
      <w:r w:rsidR="0019293C" w:rsidRPr="00014178">
        <w:rPr>
          <w:sz w:val="28"/>
          <w:szCs w:val="28"/>
        </w:rPr>
        <w:tab/>
      </w:r>
      <w:r w:rsidR="0019293C" w:rsidRPr="00014178">
        <w:rPr>
          <w:sz w:val="28"/>
          <w:szCs w:val="28"/>
        </w:rPr>
        <w:tab/>
      </w:r>
      <w:r w:rsidR="0019293C" w:rsidRPr="00014178">
        <w:rPr>
          <w:sz w:val="28"/>
          <w:szCs w:val="28"/>
        </w:rPr>
        <w:tab/>
      </w:r>
      <w:r w:rsidR="0019293C" w:rsidRPr="00014178">
        <w:rPr>
          <w:sz w:val="28"/>
          <w:szCs w:val="28"/>
        </w:rPr>
        <w:tab/>
      </w:r>
      <w:r w:rsidR="0019293C" w:rsidRPr="00014178">
        <w:rPr>
          <w:sz w:val="28"/>
          <w:szCs w:val="28"/>
        </w:rPr>
        <w:tab/>
      </w:r>
      <w:r w:rsidR="0019293C" w:rsidRPr="00014178">
        <w:rPr>
          <w:sz w:val="28"/>
          <w:szCs w:val="28"/>
        </w:rPr>
        <w:tab/>
      </w:r>
      <w:r w:rsidR="0019293C" w:rsidRPr="00014178">
        <w:rPr>
          <w:sz w:val="28"/>
          <w:szCs w:val="28"/>
        </w:rPr>
        <w:tab/>
      </w:r>
      <w:r w:rsidR="0019293C" w:rsidRPr="00014178">
        <w:rPr>
          <w:sz w:val="28"/>
          <w:szCs w:val="28"/>
        </w:rPr>
        <w:tab/>
        <w:t xml:space="preserve">   </w:t>
      </w:r>
      <w:r w:rsidR="00B477B4" w:rsidRPr="00014178">
        <w:rPr>
          <w:sz w:val="28"/>
          <w:szCs w:val="28"/>
        </w:rPr>
        <w:t>M</w:t>
      </w:r>
      <w:r w:rsidRPr="00014178">
        <w:rPr>
          <w:sz w:val="28"/>
          <w:szCs w:val="28"/>
        </w:rPr>
        <w:t>. </w:t>
      </w:r>
      <w:r w:rsidR="00B477B4" w:rsidRPr="00014178">
        <w:rPr>
          <w:sz w:val="28"/>
          <w:szCs w:val="28"/>
        </w:rPr>
        <w:t>Segl</w:t>
      </w:r>
      <w:r w:rsidRPr="00014178">
        <w:rPr>
          <w:sz w:val="28"/>
          <w:szCs w:val="28"/>
        </w:rPr>
        <w:t>iņš</w:t>
      </w:r>
    </w:p>
    <w:p w:rsidR="00292583" w:rsidRDefault="00292583" w:rsidP="006C5272">
      <w:pPr>
        <w:jc w:val="both"/>
        <w:rPr>
          <w:sz w:val="28"/>
          <w:szCs w:val="28"/>
        </w:rPr>
      </w:pPr>
    </w:p>
    <w:p w:rsidR="00292583" w:rsidRPr="00014178" w:rsidRDefault="00292583" w:rsidP="006C5272">
      <w:pPr>
        <w:jc w:val="both"/>
        <w:rPr>
          <w:sz w:val="28"/>
          <w:szCs w:val="28"/>
        </w:rPr>
      </w:pPr>
      <w:r>
        <w:rPr>
          <w:sz w:val="28"/>
          <w:szCs w:val="28"/>
        </w:rPr>
        <w:t>Vīza: 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M.Lazdovskis</w:t>
      </w:r>
    </w:p>
    <w:p w:rsidR="00267530" w:rsidRDefault="00267530" w:rsidP="006C5272">
      <w:pPr>
        <w:ind w:firstLine="720"/>
        <w:jc w:val="both"/>
        <w:rPr>
          <w:sz w:val="28"/>
          <w:szCs w:val="28"/>
        </w:rPr>
      </w:pPr>
    </w:p>
    <w:p w:rsidR="00EC2D39" w:rsidRDefault="00292583" w:rsidP="006C5272">
      <w:pPr>
        <w:rPr>
          <w:sz w:val="20"/>
        </w:rPr>
      </w:pPr>
      <w:r>
        <w:rPr>
          <w:sz w:val="20"/>
        </w:rPr>
        <w:t>22.04.2009</w:t>
      </w:r>
      <w:r w:rsidR="00EC2D39">
        <w:rPr>
          <w:sz w:val="20"/>
        </w:rPr>
        <w:t xml:space="preserve">. </w:t>
      </w:r>
      <w:r>
        <w:rPr>
          <w:sz w:val="20"/>
        </w:rPr>
        <w:t>1</w:t>
      </w:r>
      <w:r w:rsidR="005A6B0C">
        <w:rPr>
          <w:sz w:val="20"/>
        </w:rPr>
        <w:t>3</w:t>
      </w:r>
      <w:r w:rsidR="00677358">
        <w:rPr>
          <w:sz w:val="20"/>
        </w:rPr>
        <w:t>:</w:t>
      </w:r>
      <w:r w:rsidR="005A6B0C">
        <w:rPr>
          <w:sz w:val="20"/>
        </w:rPr>
        <w:t>05</w:t>
      </w:r>
    </w:p>
    <w:p w:rsidR="00EA6732" w:rsidRPr="005A3A68" w:rsidRDefault="005D1318" w:rsidP="006C5272">
      <w:pPr>
        <w:rPr>
          <w:sz w:val="20"/>
        </w:rPr>
      </w:pPr>
      <w:r>
        <w:rPr>
          <w:sz w:val="20"/>
        </w:rPr>
        <w:t>10</w:t>
      </w:r>
      <w:r w:rsidR="00292583">
        <w:rPr>
          <w:sz w:val="20"/>
        </w:rPr>
        <w:t>92</w:t>
      </w:r>
    </w:p>
    <w:p w:rsidR="00A040B7" w:rsidRPr="005A3A68" w:rsidRDefault="00B477B4" w:rsidP="006C5272">
      <w:pPr>
        <w:rPr>
          <w:sz w:val="20"/>
        </w:rPr>
      </w:pPr>
      <w:proofErr w:type="spellStart"/>
      <w:r>
        <w:rPr>
          <w:sz w:val="20"/>
        </w:rPr>
        <w:t>J.Kučāne</w:t>
      </w:r>
      <w:proofErr w:type="spellEnd"/>
    </w:p>
    <w:p w:rsidR="00A91EBF" w:rsidRPr="001D6A83" w:rsidRDefault="00A040B7" w:rsidP="001D6A83">
      <w:pPr>
        <w:rPr>
          <w:sz w:val="20"/>
        </w:rPr>
      </w:pPr>
      <w:r w:rsidRPr="005A3A68">
        <w:rPr>
          <w:sz w:val="20"/>
        </w:rPr>
        <w:t>6716260</w:t>
      </w:r>
      <w:r w:rsidR="00B477B4">
        <w:rPr>
          <w:sz w:val="20"/>
        </w:rPr>
        <w:t>6</w:t>
      </w:r>
      <w:r w:rsidRPr="005A3A68">
        <w:rPr>
          <w:sz w:val="20"/>
        </w:rPr>
        <w:t xml:space="preserve">, </w:t>
      </w:r>
      <w:hyperlink r:id="rId7" w:history="1">
        <w:r w:rsidR="00B477B4" w:rsidRPr="00B477B4">
          <w:rPr>
            <w:rStyle w:val="Hyperlink"/>
            <w:color w:val="auto"/>
            <w:sz w:val="20"/>
            <w:u w:val="none"/>
          </w:rPr>
          <w:t>Jevgenija.Kucane@tm.gov.lv</w:t>
        </w:r>
      </w:hyperlink>
    </w:p>
    <w:p w:rsidR="005945F5" w:rsidRPr="005A3A68" w:rsidRDefault="005945F5" w:rsidP="00C52B7B">
      <w:pPr>
        <w:jc w:val="both"/>
        <w:rPr>
          <w:bCs w:val="0"/>
          <w:sz w:val="28"/>
          <w:szCs w:val="28"/>
        </w:rPr>
      </w:pPr>
    </w:p>
    <w:sectPr w:rsidR="005945F5" w:rsidRPr="005A3A68" w:rsidSect="006C5272">
      <w:headerReference w:type="even" r:id="rId8"/>
      <w:headerReference w:type="default" r:id="rId9"/>
      <w:footerReference w:type="even" r:id="rId10"/>
      <w:footerReference w:type="default" r:id="rId11"/>
      <w:footerReference w:type="first" r:id="rId12"/>
      <w:pgSz w:w="11906" w:h="16838" w:code="9"/>
      <w:pgMar w:top="1134" w:right="851" w:bottom="1134" w:left="1701" w:header="68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5D0" w:rsidRDefault="00D305D0">
      <w:r>
        <w:separator/>
      </w:r>
    </w:p>
  </w:endnote>
  <w:endnote w:type="continuationSeparator" w:id="0">
    <w:p w:rsidR="00D305D0" w:rsidRDefault="00D3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16" w:rsidRDefault="00E73A16" w:rsidP="00E855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3A16" w:rsidRDefault="00E73A16" w:rsidP="00E855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16" w:rsidRPr="006E211F" w:rsidRDefault="00E73A16" w:rsidP="006902B4">
    <w:pPr>
      <w:jc w:val="both"/>
      <w:rPr>
        <w:sz w:val="20"/>
      </w:rPr>
    </w:pPr>
    <w:r w:rsidRPr="006E211F">
      <w:rPr>
        <w:sz w:val="20"/>
      </w:rPr>
      <w:t>TMZino_2</w:t>
    </w:r>
    <w:r w:rsidR="00292583">
      <w:rPr>
        <w:sz w:val="20"/>
      </w:rPr>
      <w:t>2</w:t>
    </w:r>
    <w:r w:rsidRPr="006E211F">
      <w:rPr>
        <w:sz w:val="20"/>
      </w:rPr>
      <w:t xml:space="preserve">0409_lidz_zem; </w:t>
    </w:r>
    <w:smartTag w:uri="urn:schemas-microsoft-com:office:smarttags" w:element="PersonName">
      <w:r w:rsidRPr="006E211F">
        <w:rPr>
          <w:sz w:val="20"/>
        </w:rPr>
        <w:t>Info</w:t>
      </w:r>
    </w:smartTag>
    <w:r w:rsidRPr="006E211F">
      <w:rPr>
        <w:sz w:val="20"/>
      </w:rPr>
      <w:t>rmatīvais ziņojums par zemes īpašuma vērtības kompensācijas mehānismu un līdzvērtīgas zemes piešķiršanas kārtību bijušajiem zemes īpašniekiem vai to mantiniekiem</w:t>
    </w:r>
  </w:p>
  <w:p w:rsidR="00E73A16" w:rsidRPr="006902B4" w:rsidRDefault="00E73A16" w:rsidP="00690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16" w:rsidRPr="006E211F" w:rsidRDefault="00E73A16" w:rsidP="006902B4">
    <w:pPr>
      <w:jc w:val="both"/>
      <w:rPr>
        <w:sz w:val="20"/>
      </w:rPr>
    </w:pPr>
    <w:r w:rsidRPr="006E211F">
      <w:rPr>
        <w:sz w:val="20"/>
      </w:rPr>
      <w:t>TMZino_2</w:t>
    </w:r>
    <w:r w:rsidR="00292583">
      <w:rPr>
        <w:sz w:val="20"/>
      </w:rPr>
      <w:t>2</w:t>
    </w:r>
    <w:r w:rsidRPr="006E211F">
      <w:rPr>
        <w:sz w:val="20"/>
      </w:rPr>
      <w:t xml:space="preserve">0409_lidz_zem; </w:t>
    </w:r>
    <w:smartTag w:uri="urn:schemas-microsoft-com:office:smarttags" w:element="PersonName">
      <w:r w:rsidRPr="006E211F">
        <w:rPr>
          <w:sz w:val="20"/>
        </w:rPr>
        <w:t>Info</w:t>
      </w:r>
    </w:smartTag>
    <w:r w:rsidRPr="006E211F">
      <w:rPr>
        <w:sz w:val="20"/>
      </w:rPr>
      <w:t>rmatīvais ziņojums par zemes īpašuma vērtības kompensācijas mehānismu un līdzvērtīgas zemes piešķiršanas kārtību bijušajiem zemes īpašniekiem vai to mantiniekiem</w:t>
    </w:r>
  </w:p>
  <w:p w:rsidR="00E73A16" w:rsidRDefault="00E73A16" w:rsidP="007E1577">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5D0" w:rsidRDefault="00D305D0">
      <w:r>
        <w:separator/>
      </w:r>
    </w:p>
  </w:footnote>
  <w:footnote w:type="continuationSeparator" w:id="0">
    <w:p w:rsidR="00D305D0" w:rsidRDefault="00D3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16" w:rsidRDefault="00E73A16" w:rsidP="006145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A16" w:rsidRDefault="00E73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16" w:rsidRDefault="00E73A16" w:rsidP="006145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2CA5">
      <w:rPr>
        <w:rStyle w:val="PageNumber"/>
        <w:noProof/>
      </w:rPr>
      <w:t>3</w:t>
    </w:r>
    <w:r>
      <w:rPr>
        <w:rStyle w:val="PageNumber"/>
      </w:rPr>
      <w:fldChar w:fldCharType="end"/>
    </w:r>
  </w:p>
  <w:p w:rsidR="00E73A16" w:rsidRDefault="00E73A16">
    <w:pPr>
      <w:pStyle w:val="Header"/>
    </w:pPr>
  </w:p>
  <w:p w:rsidR="00E73A16" w:rsidRDefault="00E73A16">
    <w:pPr>
      <w:pStyle w:val="Header"/>
    </w:pPr>
  </w:p>
  <w:p w:rsidR="00E73A16" w:rsidRDefault="00E73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8AD"/>
    <w:multiLevelType w:val="hybridMultilevel"/>
    <w:tmpl w:val="592ED05A"/>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651FC4"/>
    <w:multiLevelType w:val="hybridMultilevel"/>
    <w:tmpl w:val="5FD87B66"/>
    <w:lvl w:ilvl="0" w:tplc="7BE8E0AA">
      <w:start w:val="1"/>
      <w:numFmt w:val="decimal"/>
      <w:lvlText w:val="%1."/>
      <w:lvlJc w:val="left"/>
      <w:pPr>
        <w:ind w:left="644" w:hanging="360"/>
      </w:pPr>
      <w:rPr>
        <w:rFonts w:ascii="Times New Roman" w:eastAsia="Times New Roman" w:hAnsi="Times New Roman" w:cs="Times New Roman"/>
        <w:b w:val="0"/>
        <w:sz w:val="27"/>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494B37"/>
    <w:multiLevelType w:val="multilevel"/>
    <w:tmpl w:val="1A440936"/>
    <w:lvl w:ilvl="0">
      <w:start w:val="1"/>
      <w:numFmt w:val="decimal"/>
      <w:lvlText w:val="%1)"/>
      <w:lvlJc w:val="left"/>
      <w:pPr>
        <w:tabs>
          <w:tab w:val="num" w:pos="1557"/>
        </w:tabs>
        <w:ind w:left="1557" w:hanging="945"/>
      </w:pPr>
      <w:rPr>
        <w:rFonts w:hint="default"/>
      </w:r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3" w15:restartNumberingAfterBreak="0">
    <w:nsid w:val="09C323DD"/>
    <w:multiLevelType w:val="hybridMultilevel"/>
    <w:tmpl w:val="F4168F8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07137F4"/>
    <w:multiLevelType w:val="hybridMultilevel"/>
    <w:tmpl w:val="61600BC4"/>
    <w:lvl w:ilvl="0" w:tplc="3C9E030C">
      <w:start w:val="1"/>
      <w:numFmt w:val="decimal"/>
      <w:lvlText w:val="%1."/>
      <w:lvlJc w:val="left"/>
      <w:pPr>
        <w:tabs>
          <w:tab w:val="num" w:pos="972"/>
        </w:tabs>
        <w:ind w:left="972" w:hanging="360"/>
      </w:pPr>
      <w:rPr>
        <w:rFonts w:hint="default"/>
      </w:rPr>
    </w:lvl>
    <w:lvl w:ilvl="1" w:tplc="04260019" w:tentative="1">
      <w:start w:val="1"/>
      <w:numFmt w:val="lowerLetter"/>
      <w:lvlText w:val="%2."/>
      <w:lvlJc w:val="left"/>
      <w:pPr>
        <w:tabs>
          <w:tab w:val="num" w:pos="1692"/>
        </w:tabs>
        <w:ind w:left="1692" w:hanging="360"/>
      </w:pPr>
    </w:lvl>
    <w:lvl w:ilvl="2" w:tplc="0426001B" w:tentative="1">
      <w:start w:val="1"/>
      <w:numFmt w:val="lowerRoman"/>
      <w:lvlText w:val="%3."/>
      <w:lvlJc w:val="right"/>
      <w:pPr>
        <w:tabs>
          <w:tab w:val="num" w:pos="2412"/>
        </w:tabs>
        <w:ind w:left="2412" w:hanging="180"/>
      </w:pPr>
    </w:lvl>
    <w:lvl w:ilvl="3" w:tplc="0426000F" w:tentative="1">
      <w:start w:val="1"/>
      <w:numFmt w:val="decimal"/>
      <w:lvlText w:val="%4."/>
      <w:lvlJc w:val="left"/>
      <w:pPr>
        <w:tabs>
          <w:tab w:val="num" w:pos="3132"/>
        </w:tabs>
        <w:ind w:left="3132" w:hanging="360"/>
      </w:pPr>
    </w:lvl>
    <w:lvl w:ilvl="4" w:tplc="04260019" w:tentative="1">
      <w:start w:val="1"/>
      <w:numFmt w:val="lowerLetter"/>
      <w:lvlText w:val="%5."/>
      <w:lvlJc w:val="left"/>
      <w:pPr>
        <w:tabs>
          <w:tab w:val="num" w:pos="3852"/>
        </w:tabs>
        <w:ind w:left="3852" w:hanging="360"/>
      </w:pPr>
    </w:lvl>
    <w:lvl w:ilvl="5" w:tplc="0426001B" w:tentative="1">
      <w:start w:val="1"/>
      <w:numFmt w:val="lowerRoman"/>
      <w:lvlText w:val="%6."/>
      <w:lvlJc w:val="right"/>
      <w:pPr>
        <w:tabs>
          <w:tab w:val="num" w:pos="4572"/>
        </w:tabs>
        <w:ind w:left="4572" w:hanging="180"/>
      </w:pPr>
    </w:lvl>
    <w:lvl w:ilvl="6" w:tplc="0426000F" w:tentative="1">
      <w:start w:val="1"/>
      <w:numFmt w:val="decimal"/>
      <w:lvlText w:val="%7."/>
      <w:lvlJc w:val="left"/>
      <w:pPr>
        <w:tabs>
          <w:tab w:val="num" w:pos="5292"/>
        </w:tabs>
        <w:ind w:left="5292" w:hanging="360"/>
      </w:pPr>
    </w:lvl>
    <w:lvl w:ilvl="7" w:tplc="04260019" w:tentative="1">
      <w:start w:val="1"/>
      <w:numFmt w:val="lowerLetter"/>
      <w:lvlText w:val="%8."/>
      <w:lvlJc w:val="left"/>
      <w:pPr>
        <w:tabs>
          <w:tab w:val="num" w:pos="6012"/>
        </w:tabs>
        <w:ind w:left="6012" w:hanging="360"/>
      </w:pPr>
    </w:lvl>
    <w:lvl w:ilvl="8" w:tplc="0426001B" w:tentative="1">
      <w:start w:val="1"/>
      <w:numFmt w:val="lowerRoman"/>
      <w:lvlText w:val="%9."/>
      <w:lvlJc w:val="right"/>
      <w:pPr>
        <w:tabs>
          <w:tab w:val="num" w:pos="6732"/>
        </w:tabs>
        <w:ind w:left="6732" w:hanging="180"/>
      </w:pPr>
    </w:lvl>
  </w:abstractNum>
  <w:abstractNum w:abstractNumId="5" w15:restartNumberingAfterBreak="0">
    <w:nsid w:val="23076F08"/>
    <w:multiLevelType w:val="hybridMultilevel"/>
    <w:tmpl w:val="6BE00BDA"/>
    <w:lvl w:ilvl="0" w:tplc="0426000F">
      <w:start w:val="1"/>
      <w:numFmt w:val="decimal"/>
      <w:lvlText w:val="%1."/>
      <w:lvlJc w:val="left"/>
      <w:pPr>
        <w:tabs>
          <w:tab w:val="num" w:pos="5724"/>
        </w:tabs>
        <w:ind w:left="5724" w:hanging="360"/>
      </w:pPr>
      <w:rPr>
        <w:rFonts w:hint="default"/>
      </w:rPr>
    </w:lvl>
    <w:lvl w:ilvl="1" w:tplc="04260019" w:tentative="1">
      <w:start w:val="1"/>
      <w:numFmt w:val="lowerLetter"/>
      <w:lvlText w:val="%2."/>
      <w:lvlJc w:val="left"/>
      <w:pPr>
        <w:tabs>
          <w:tab w:val="num" w:pos="6444"/>
        </w:tabs>
        <w:ind w:left="6444" w:hanging="360"/>
      </w:pPr>
    </w:lvl>
    <w:lvl w:ilvl="2" w:tplc="0426001B" w:tentative="1">
      <w:start w:val="1"/>
      <w:numFmt w:val="lowerRoman"/>
      <w:lvlText w:val="%3."/>
      <w:lvlJc w:val="right"/>
      <w:pPr>
        <w:tabs>
          <w:tab w:val="num" w:pos="7164"/>
        </w:tabs>
        <w:ind w:left="7164" w:hanging="180"/>
      </w:pPr>
    </w:lvl>
    <w:lvl w:ilvl="3" w:tplc="0426000F" w:tentative="1">
      <w:start w:val="1"/>
      <w:numFmt w:val="decimal"/>
      <w:lvlText w:val="%4."/>
      <w:lvlJc w:val="left"/>
      <w:pPr>
        <w:tabs>
          <w:tab w:val="num" w:pos="7884"/>
        </w:tabs>
        <w:ind w:left="7884" w:hanging="360"/>
      </w:pPr>
    </w:lvl>
    <w:lvl w:ilvl="4" w:tplc="04260019" w:tentative="1">
      <w:start w:val="1"/>
      <w:numFmt w:val="lowerLetter"/>
      <w:lvlText w:val="%5."/>
      <w:lvlJc w:val="left"/>
      <w:pPr>
        <w:tabs>
          <w:tab w:val="num" w:pos="8604"/>
        </w:tabs>
        <w:ind w:left="8604" w:hanging="360"/>
      </w:pPr>
    </w:lvl>
    <w:lvl w:ilvl="5" w:tplc="0426001B" w:tentative="1">
      <w:start w:val="1"/>
      <w:numFmt w:val="lowerRoman"/>
      <w:lvlText w:val="%6."/>
      <w:lvlJc w:val="right"/>
      <w:pPr>
        <w:tabs>
          <w:tab w:val="num" w:pos="9324"/>
        </w:tabs>
        <w:ind w:left="9324" w:hanging="180"/>
      </w:pPr>
    </w:lvl>
    <w:lvl w:ilvl="6" w:tplc="0426000F" w:tentative="1">
      <w:start w:val="1"/>
      <w:numFmt w:val="decimal"/>
      <w:lvlText w:val="%7."/>
      <w:lvlJc w:val="left"/>
      <w:pPr>
        <w:tabs>
          <w:tab w:val="num" w:pos="10044"/>
        </w:tabs>
        <w:ind w:left="10044" w:hanging="360"/>
      </w:pPr>
    </w:lvl>
    <w:lvl w:ilvl="7" w:tplc="04260019" w:tentative="1">
      <w:start w:val="1"/>
      <w:numFmt w:val="lowerLetter"/>
      <w:lvlText w:val="%8."/>
      <w:lvlJc w:val="left"/>
      <w:pPr>
        <w:tabs>
          <w:tab w:val="num" w:pos="10764"/>
        </w:tabs>
        <w:ind w:left="10764" w:hanging="360"/>
      </w:pPr>
    </w:lvl>
    <w:lvl w:ilvl="8" w:tplc="0426001B" w:tentative="1">
      <w:start w:val="1"/>
      <w:numFmt w:val="lowerRoman"/>
      <w:lvlText w:val="%9."/>
      <w:lvlJc w:val="right"/>
      <w:pPr>
        <w:tabs>
          <w:tab w:val="num" w:pos="11484"/>
        </w:tabs>
        <w:ind w:left="11484" w:hanging="180"/>
      </w:pPr>
    </w:lvl>
  </w:abstractNum>
  <w:abstractNum w:abstractNumId="6" w15:restartNumberingAfterBreak="0">
    <w:nsid w:val="274E0DA6"/>
    <w:multiLevelType w:val="hybridMultilevel"/>
    <w:tmpl w:val="DCBE2506"/>
    <w:lvl w:ilvl="0" w:tplc="13F4D7F2">
      <w:start w:val="1"/>
      <w:numFmt w:val="decimal"/>
      <w:lvlText w:val="%1."/>
      <w:lvlJc w:val="left"/>
      <w:pPr>
        <w:tabs>
          <w:tab w:val="num" w:pos="1512"/>
        </w:tabs>
        <w:ind w:left="1512" w:hanging="900"/>
      </w:pPr>
      <w:rPr>
        <w:rFonts w:hint="default"/>
      </w:rPr>
    </w:lvl>
    <w:lvl w:ilvl="1" w:tplc="04260019" w:tentative="1">
      <w:start w:val="1"/>
      <w:numFmt w:val="lowerLetter"/>
      <w:lvlText w:val="%2."/>
      <w:lvlJc w:val="left"/>
      <w:pPr>
        <w:tabs>
          <w:tab w:val="num" w:pos="1692"/>
        </w:tabs>
        <w:ind w:left="1692" w:hanging="360"/>
      </w:pPr>
    </w:lvl>
    <w:lvl w:ilvl="2" w:tplc="0426001B" w:tentative="1">
      <w:start w:val="1"/>
      <w:numFmt w:val="lowerRoman"/>
      <w:lvlText w:val="%3."/>
      <w:lvlJc w:val="right"/>
      <w:pPr>
        <w:tabs>
          <w:tab w:val="num" w:pos="2412"/>
        </w:tabs>
        <w:ind w:left="2412" w:hanging="180"/>
      </w:pPr>
    </w:lvl>
    <w:lvl w:ilvl="3" w:tplc="0426000F" w:tentative="1">
      <w:start w:val="1"/>
      <w:numFmt w:val="decimal"/>
      <w:lvlText w:val="%4."/>
      <w:lvlJc w:val="left"/>
      <w:pPr>
        <w:tabs>
          <w:tab w:val="num" w:pos="3132"/>
        </w:tabs>
        <w:ind w:left="3132" w:hanging="360"/>
      </w:pPr>
    </w:lvl>
    <w:lvl w:ilvl="4" w:tplc="04260019" w:tentative="1">
      <w:start w:val="1"/>
      <w:numFmt w:val="lowerLetter"/>
      <w:lvlText w:val="%5."/>
      <w:lvlJc w:val="left"/>
      <w:pPr>
        <w:tabs>
          <w:tab w:val="num" w:pos="3852"/>
        </w:tabs>
        <w:ind w:left="3852" w:hanging="360"/>
      </w:pPr>
    </w:lvl>
    <w:lvl w:ilvl="5" w:tplc="0426001B" w:tentative="1">
      <w:start w:val="1"/>
      <w:numFmt w:val="lowerRoman"/>
      <w:lvlText w:val="%6."/>
      <w:lvlJc w:val="right"/>
      <w:pPr>
        <w:tabs>
          <w:tab w:val="num" w:pos="4572"/>
        </w:tabs>
        <w:ind w:left="4572" w:hanging="180"/>
      </w:pPr>
    </w:lvl>
    <w:lvl w:ilvl="6" w:tplc="0426000F" w:tentative="1">
      <w:start w:val="1"/>
      <w:numFmt w:val="decimal"/>
      <w:lvlText w:val="%7."/>
      <w:lvlJc w:val="left"/>
      <w:pPr>
        <w:tabs>
          <w:tab w:val="num" w:pos="5292"/>
        </w:tabs>
        <w:ind w:left="5292" w:hanging="360"/>
      </w:pPr>
    </w:lvl>
    <w:lvl w:ilvl="7" w:tplc="04260019" w:tentative="1">
      <w:start w:val="1"/>
      <w:numFmt w:val="lowerLetter"/>
      <w:lvlText w:val="%8."/>
      <w:lvlJc w:val="left"/>
      <w:pPr>
        <w:tabs>
          <w:tab w:val="num" w:pos="6012"/>
        </w:tabs>
        <w:ind w:left="6012" w:hanging="360"/>
      </w:pPr>
    </w:lvl>
    <w:lvl w:ilvl="8" w:tplc="0426001B" w:tentative="1">
      <w:start w:val="1"/>
      <w:numFmt w:val="lowerRoman"/>
      <w:lvlText w:val="%9."/>
      <w:lvlJc w:val="right"/>
      <w:pPr>
        <w:tabs>
          <w:tab w:val="num" w:pos="6732"/>
        </w:tabs>
        <w:ind w:left="6732" w:hanging="180"/>
      </w:pPr>
    </w:lvl>
  </w:abstractNum>
  <w:abstractNum w:abstractNumId="7" w15:restartNumberingAfterBreak="0">
    <w:nsid w:val="34097814"/>
    <w:multiLevelType w:val="hybridMultilevel"/>
    <w:tmpl w:val="0AB415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887033"/>
    <w:multiLevelType w:val="hybridMultilevel"/>
    <w:tmpl w:val="745EA7D2"/>
    <w:lvl w:ilvl="0" w:tplc="B28E90E4">
      <w:start w:val="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5802A0"/>
    <w:multiLevelType w:val="hybridMultilevel"/>
    <w:tmpl w:val="35545362"/>
    <w:lvl w:ilvl="0" w:tplc="853A687E">
      <w:start w:val="1"/>
      <w:numFmt w:val="decimal"/>
      <w:lvlText w:val="%1."/>
      <w:lvlJc w:val="left"/>
      <w:pPr>
        <w:tabs>
          <w:tab w:val="num" w:pos="730"/>
        </w:tabs>
        <w:ind w:left="730" w:hanging="600"/>
      </w:pPr>
      <w:rPr>
        <w:rFonts w:hint="default"/>
      </w:rPr>
    </w:lvl>
    <w:lvl w:ilvl="1" w:tplc="04260019" w:tentative="1">
      <w:start w:val="1"/>
      <w:numFmt w:val="lowerLetter"/>
      <w:lvlText w:val="%2."/>
      <w:lvlJc w:val="left"/>
      <w:pPr>
        <w:tabs>
          <w:tab w:val="num" w:pos="1210"/>
        </w:tabs>
        <w:ind w:left="1210" w:hanging="360"/>
      </w:pPr>
    </w:lvl>
    <w:lvl w:ilvl="2" w:tplc="0426001B" w:tentative="1">
      <w:start w:val="1"/>
      <w:numFmt w:val="lowerRoman"/>
      <w:lvlText w:val="%3."/>
      <w:lvlJc w:val="right"/>
      <w:pPr>
        <w:tabs>
          <w:tab w:val="num" w:pos="1930"/>
        </w:tabs>
        <w:ind w:left="1930" w:hanging="180"/>
      </w:pPr>
    </w:lvl>
    <w:lvl w:ilvl="3" w:tplc="0426000F" w:tentative="1">
      <w:start w:val="1"/>
      <w:numFmt w:val="decimal"/>
      <w:lvlText w:val="%4."/>
      <w:lvlJc w:val="left"/>
      <w:pPr>
        <w:tabs>
          <w:tab w:val="num" w:pos="2650"/>
        </w:tabs>
        <w:ind w:left="2650" w:hanging="360"/>
      </w:pPr>
    </w:lvl>
    <w:lvl w:ilvl="4" w:tplc="04260019" w:tentative="1">
      <w:start w:val="1"/>
      <w:numFmt w:val="lowerLetter"/>
      <w:lvlText w:val="%5."/>
      <w:lvlJc w:val="left"/>
      <w:pPr>
        <w:tabs>
          <w:tab w:val="num" w:pos="3370"/>
        </w:tabs>
        <w:ind w:left="3370" w:hanging="360"/>
      </w:pPr>
    </w:lvl>
    <w:lvl w:ilvl="5" w:tplc="0426001B" w:tentative="1">
      <w:start w:val="1"/>
      <w:numFmt w:val="lowerRoman"/>
      <w:lvlText w:val="%6."/>
      <w:lvlJc w:val="right"/>
      <w:pPr>
        <w:tabs>
          <w:tab w:val="num" w:pos="4090"/>
        </w:tabs>
        <w:ind w:left="4090" w:hanging="180"/>
      </w:pPr>
    </w:lvl>
    <w:lvl w:ilvl="6" w:tplc="0426000F" w:tentative="1">
      <w:start w:val="1"/>
      <w:numFmt w:val="decimal"/>
      <w:lvlText w:val="%7."/>
      <w:lvlJc w:val="left"/>
      <w:pPr>
        <w:tabs>
          <w:tab w:val="num" w:pos="4810"/>
        </w:tabs>
        <w:ind w:left="4810" w:hanging="360"/>
      </w:pPr>
    </w:lvl>
    <w:lvl w:ilvl="7" w:tplc="04260019" w:tentative="1">
      <w:start w:val="1"/>
      <w:numFmt w:val="lowerLetter"/>
      <w:lvlText w:val="%8."/>
      <w:lvlJc w:val="left"/>
      <w:pPr>
        <w:tabs>
          <w:tab w:val="num" w:pos="5530"/>
        </w:tabs>
        <w:ind w:left="5530" w:hanging="360"/>
      </w:pPr>
    </w:lvl>
    <w:lvl w:ilvl="8" w:tplc="0426001B" w:tentative="1">
      <w:start w:val="1"/>
      <w:numFmt w:val="lowerRoman"/>
      <w:lvlText w:val="%9."/>
      <w:lvlJc w:val="right"/>
      <w:pPr>
        <w:tabs>
          <w:tab w:val="num" w:pos="6250"/>
        </w:tabs>
        <w:ind w:left="6250" w:hanging="180"/>
      </w:pPr>
    </w:lvl>
  </w:abstractNum>
  <w:abstractNum w:abstractNumId="10" w15:restartNumberingAfterBreak="0">
    <w:nsid w:val="5A2B7C44"/>
    <w:multiLevelType w:val="hybridMultilevel"/>
    <w:tmpl w:val="35DA3CE2"/>
    <w:lvl w:ilvl="0" w:tplc="04260001">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1" w15:restartNumberingAfterBreak="0">
    <w:nsid w:val="69152994"/>
    <w:multiLevelType w:val="hybridMultilevel"/>
    <w:tmpl w:val="9998C66E"/>
    <w:lvl w:ilvl="0" w:tplc="E41CA0FE">
      <w:start w:val="1"/>
      <w:numFmt w:val="decimal"/>
      <w:lvlText w:val="%1."/>
      <w:lvlJc w:val="left"/>
      <w:pPr>
        <w:tabs>
          <w:tab w:val="num" w:pos="1512"/>
        </w:tabs>
        <w:ind w:left="1512" w:hanging="900"/>
      </w:pPr>
      <w:rPr>
        <w:rFonts w:hint="default"/>
      </w:rPr>
    </w:lvl>
    <w:lvl w:ilvl="1" w:tplc="04260019" w:tentative="1">
      <w:start w:val="1"/>
      <w:numFmt w:val="lowerLetter"/>
      <w:lvlText w:val="%2."/>
      <w:lvlJc w:val="left"/>
      <w:pPr>
        <w:tabs>
          <w:tab w:val="num" w:pos="1692"/>
        </w:tabs>
        <w:ind w:left="1692" w:hanging="360"/>
      </w:pPr>
    </w:lvl>
    <w:lvl w:ilvl="2" w:tplc="0426001B" w:tentative="1">
      <w:start w:val="1"/>
      <w:numFmt w:val="lowerRoman"/>
      <w:lvlText w:val="%3."/>
      <w:lvlJc w:val="right"/>
      <w:pPr>
        <w:tabs>
          <w:tab w:val="num" w:pos="2412"/>
        </w:tabs>
        <w:ind w:left="2412" w:hanging="180"/>
      </w:pPr>
    </w:lvl>
    <w:lvl w:ilvl="3" w:tplc="0426000F" w:tentative="1">
      <w:start w:val="1"/>
      <w:numFmt w:val="decimal"/>
      <w:lvlText w:val="%4."/>
      <w:lvlJc w:val="left"/>
      <w:pPr>
        <w:tabs>
          <w:tab w:val="num" w:pos="3132"/>
        </w:tabs>
        <w:ind w:left="3132" w:hanging="360"/>
      </w:pPr>
    </w:lvl>
    <w:lvl w:ilvl="4" w:tplc="04260019" w:tentative="1">
      <w:start w:val="1"/>
      <w:numFmt w:val="lowerLetter"/>
      <w:lvlText w:val="%5."/>
      <w:lvlJc w:val="left"/>
      <w:pPr>
        <w:tabs>
          <w:tab w:val="num" w:pos="3852"/>
        </w:tabs>
        <w:ind w:left="3852" w:hanging="360"/>
      </w:pPr>
    </w:lvl>
    <w:lvl w:ilvl="5" w:tplc="0426001B" w:tentative="1">
      <w:start w:val="1"/>
      <w:numFmt w:val="lowerRoman"/>
      <w:lvlText w:val="%6."/>
      <w:lvlJc w:val="right"/>
      <w:pPr>
        <w:tabs>
          <w:tab w:val="num" w:pos="4572"/>
        </w:tabs>
        <w:ind w:left="4572" w:hanging="180"/>
      </w:pPr>
    </w:lvl>
    <w:lvl w:ilvl="6" w:tplc="0426000F" w:tentative="1">
      <w:start w:val="1"/>
      <w:numFmt w:val="decimal"/>
      <w:lvlText w:val="%7."/>
      <w:lvlJc w:val="left"/>
      <w:pPr>
        <w:tabs>
          <w:tab w:val="num" w:pos="5292"/>
        </w:tabs>
        <w:ind w:left="5292" w:hanging="360"/>
      </w:pPr>
    </w:lvl>
    <w:lvl w:ilvl="7" w:tplc="04260019" w:tentative="1">
      <w:start w:val="1"/>
      <w:numFmt w:val="lowerLetter"/>
      <w:lvlText w:val="%8."/>
      <w:lvlJc w:val="left"/>
      <w:pPr>
        <w:tabs>
          <w:tab w:val="num" w:pos="6012"/>
        </w:tabs>
        <w:ind w:left="6012" w:hanging="360"/>
      </w:pPr>
    </w:lvl>
    <w:lvl w:ilvl="8" w:tplc="0426001B" w:tentative="1">
      <w:start w:val="1"/>
      <w:numFmt w:val="lowerRoman"/>
      <w:lvlText w:val="%9."/>
      <w:lvlJc w:val="right"/>
      <w:pPr>
        <w:tabs>
          <w:tab w:val="num" w:pos="6732"/>
        </w:tabs>
        <w:ind w:left="6732" w:hanging="180"/>
      </w:pPr>
    </w:lvl>
  </w:abstractNum>
  <w:abstractNum w:abstractNumId="12" w15:restartNumberingAfterBreak="0">
    <w:nsid w:val="6DC90F1A"/>
    <w:multiLevelType w:val="hybridMultilevel"/>
    <w:tmpl w:val="86249A94"/>
    <w:lvl w:ilvl="0" w:tplc="04260011">
      <w:start w:val="1"/>
      <w:numFmt w:val="decimal"/>
      <w:lvlText w:val="%1)"/>
      <w:lvlJc w:val="left"/>
      <w:pPr>
        <w:tabs>
          <w:tab w:val="num" w:pos="720"/>
        </w:tabs>
        <w:ind w:left="720" w:hanging="360"/>
      </w:pPr>
      <w:rPr>
        <w:rFonts w:hint="default"/>
      </w:rPr>
    </w:lvl>
    <w:lvl w:ilvl="1" w:tplc="25AA5ACE">
      <w:start w:val="1"/>
      <w:numFmt w:val="lowerLetter"/>
      <w:lvlText w:val="%2)"/>
      <w:lvlJc w:val="left"/>
      <w:pPr>
        <w:tabs>
          <w:tab w:val="num" w:pos="1515"/>
        </w:tabs>
        <w:ind w:left="1515" w:hanging="435"/>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79533445"/>
    <w:multiLevelType w:val="hybridMultilevel"/>
    <w:tmpl w:val="C97AE956"/>
    <w:lvl w:ilvl="0" w:tplc="ED44D69C">
      <w:start w:val="1"/>
      <w:numFmt w:val="decimal"/>
      <w:lvlText w:val="%1)"/>
      <w:lvlJc w:val="left"/>
      <w:pPr>
        <w:ind w:left="1694" w:hanging="1050"/>
      </w:pPr>
      <w:rPr>
        <w:rFonts w:hint="default"/>
        <w:b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15:restartNumberingAfterBreak="0">
    <w:nsid w:val="7A3F154B"/>
    <w:multiLevelType w:val="multilevel"/>
    <w:tmpl w:val="02AE26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163A7D"/>
    <w:multiLevelType w:val="hybridMultilevel"/>
    <w:tmpl w:val="1944B7E6"/>
    <w:lvl w:ilvl="0" w:tplc="74D225A2">
      <w:start w:val="1"/>
      <w:numFmt w:val="upperRoman"/>
      <w:lvlText w:val="%1."/>
      <w:lvlJc w:val="left"/>
      <w:pPr>
        <w:tabs>
          <w:tab w:val="num" w:pos="1467"/>
        </w:tabs>
        <w:ind w:left="1467" w:hanging="855"/>
      </w:pPr>
      <w:rPr>
        <w:rFonts w:hint="default"/>
      </w:rPr>
    </w:lvl>
    <w:lvl w:ilvl="1" w:tplc="04260019" w:tentative="1">
      <w:start w:val="1"/>
      <w:numFmt w:val="lowerLetter"/>
      <w:lvlText w:val="%2."/>
      <w:lvlJc w:val="left"/>
      <w:pPr>
        <w:tabs>
          <w:tab w:val="num" w:pos="1692"/>
        </w:tabs>
        <w:ind w:left="1692" w:hanging="360"/>
      </w:pPr>
    </w:lvl>
    <w:lvl w:ilvl="2" w:tplc="0426001B" w:tentative="1">
      <w:start w:val="1"/>
      <w:numFmt w:val="lowerRoman"/>
      <w:lvlText w:val="%3."/>
      <w:lvlJc w:val="right"/>
      <w:pPr>
        <w:tabs>
          <w:tab w:val="num" w:pos="2412"/>
        </w:tabs>
        <w:ind w:left="2412" w:hanging="180"/>
      </w:pPr>
    </w:lvl>
    <w:lvl w:ilvl="3" w:tplc="0426000F" w:tentative="1">
      <w:start w:val="1"/>
      <w:numFmt w:val="decimal"/>
      <w:lvlText w:val="%4."/>
      <w:lvlJc w:val="left"/>
      <w:pPr>
        <w:tabs>
          <w:tab w:val="num" w:pos="3132"/>
        </w:tabs>
        <w:ind w:left="3132" w:hanging="360"/>
      </w:pPr>
    </w:lvl>
    <w:lvl w:ilvl="4" w:tplc="04260019" w:tentative="1">
      <w:start w:val="1"/>
      <w:numFmt w:val="lowerLetter"/>
      <w:lvlText w:val="%5."/>
      <w:lvlJc w:val="left"/>
      <w:pPr>
        <w:tabs>
          <w:tab w:val="num" w:pos="3852"/>
        </w:tabs>
        <w:ind w:left="3852" w:hanging="360"/>
      </w:pPr>
    </w:lvl>
    <w:lvl w:ilvl="5" w:tplc="0426001B" w:tentative="1">
      <w:start w:val="1"/>
      <w:numFmt w:val="lowerRoman"/>
      <w:lvlText w:val="%6."/>
      <w:lvlJc w:val="right"/>
      <w:pPr>
        <w:tabs>
          <w:tab w:val="num" w:pos="4572"/>
        </w:tabs>
        <w:ind w:left="4572" w:hanging="180"/>
      </w:pPr>
    </w:lvl>
    <w:lvl w:ilvl="6" w:tplc="0426000F" w:tentative="1">
      <w:start w:val="1"/>
      <w:numFmt w:val="decimal"/>
      <w:lvlText w:val="%7."/>
      <w:lvlJc w:val="left"/>
      <w:pPr>
        <w:tabs>
          <w:tab w:val="num" w:pos="5292"/>
        </w:tabs>
        <w:ind w:left="5292" w:hanging="360"/>
      </w:pPr>
    </w:lvl>
    <w:lvl w:ilvl="7" w:tplc="04260019" w:tentative="1">
      <w:start w:val="1"/>
      <w:numFmt w:val="lowerLetter"/>
      <w:lvlText w:val="%8."/>
      <w:lvlJc w:val="left"/>
      <w:pPr>
        <w:tabs>
          <w:tab w:val="num" w:pos="6012"/>
        </w:tabs>
        <w:ind w:left="6012" w:hanging="360"/>
      </w:pPr>
    </w:lvl>
    <w:lvl w:ilvl="8" w:tplc="0426001B" w:tentative="1">
      <w:start w:val="1"/>
      <w:numFmt w:val="lowerRoman"/>
      <w:lvlText w:val="%9."/>
      <w:lvlJc w:val="right"/>
      <w:pPr>
        <w:tabs>
          <w:tab w:val="num" w:pos="6732"/>
        </w:tabs>
        <w:ind w:left="6732" w:hanging="180"/>
      </w:pPr>
    </w:lvl>
  </w:abstractNum>
  <w:num w:numId="1">
    <w:abstractNumId w:val="5"/>
  </w:num>
  <w:num w:numId="2">
    <w:abstractNumId w:val="3"/>
  </w:num>
  <w:num w:numId="3">
    <w:abstractNumId w:val="2"/>
  </w:num>
  <w:num w:numId="4">
    <w:abstractNumId w:val="6"/>
  </w:num>
  <w:num w:numId="5">
    <w:abstractNumId w:val="11"/>
  </w:num>
  <w:num w:numId="6">
    <w:abstractNumId w:val="4"/>
  </w:num>
  <w:num w:numId="7">
    <w:abstractNumId w:val="15"/>
  </w:num>
  <w:num w:numId="8">
    <w:abstractNumId w:val="1"/>
  </w:num>
  <w:num w:numId="9">
    <w:abstractNumId w:val="7"/>
  </w:num>
  <w:num w:numId="10">
    <w:abstractNumId w:val="8"/>
  </w:num>
  <w:num w:numId="11">
    <w:abstractNumId w:val="13"/>
  </w:num>
  <w:num w:numId="12">
    <w:abstractNumId w:val="0"/>
  </w:num>
  <w:num w:numId="13">
    <w:abstractNumId w:val="10"/>
  </w:num>
  <w:num w:numId="14">
    <w:abstractNumId w:val="12"/>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48"/>
    <w:rsid w:val="0000037C"/>
    <w:rsid w:val="0001410F"/>
    <w:rsid w:val="00014178"/>
    <w:rsid w:val="00017F2A"/>
    <w:rsid w:val="000228E4"/>
    <w:rsid w:val="00024253"/>
    <w:rsid w:val="00025224"/>
    <w:rsid w:val="00027C2F"/>
    <w:rsid w:val="00034E09"/>
    <w:rsid w:val="00035540"/>
    <w:rsid w:val="00036979"/>
    <w:rsid w:val="00037476"/>
    <w:rsid w:val="00042540"/>
    <w:rsid w:val="00047E5A"/>
    <w:rsid w:val="000509C8"/>
    <w:rsid w:val="00051D9D"/>
    <w:rsid w:val="00054BC4"/>
    <w:rsid w:val="000565E1"/>
    <w:rsid w:val="00063733"/>
    <w:rsid w:val="000643EF"/>
    <w:rsid w:val="00073235"/>
    <w:rsid w:val="00077377"/>
    <w:rsid w:val="0009017B"/>
    <w:rsid w:val="000A0C6F"/>
    <w:rsid w:val="000A1651"/>
    <w:rsid w:val="000A54B1"/>
    <w:rsid w:val="000B1735"/>
    <w:rsid w:val="000D67F4"/>
    <w:rsid w:val="000E295E"/>
    <w:rsid w:val="000E3114"/>
    <w:rsid w:val="000E5378"/>
    <w:rsid w:val="000E591E"/>
    <w:rsid w:val="000E5B15"/>
    <w:rsid w:val="000E5C26"/>
    <w:rsid w:val="000E795D"/>
    <w:rsid w:val="001007FA"/>
    <w:rsid w:val="001031FA"/>
    <w:rsid w:val="00103C10"/>
    <w:rsid w:val="00112CA5"/>
    <w:rsid w:val="00114CFA"/>
    <w:rsid w:val="0011742A"/>
    <w:rsid w:val="00125843"/>
    <w:rsid w:val="00127E3A"/>
    <w:rsid w:val="001303AC"/>
    <w:rsid w:val="001355AA"/>
    <w:rsid w:val="0013633F"/>
    <w:rsid w:val="00137615"/>
    <w:rsid w:val="00140AA0"/>
    <w:rsid w:val="00143DDB"/>
    <w:rsid w:val="00145E90"/>
    <w:rsid w:val="001526F0"/>
    <w:rsid w:val="00152B9A"/>
    <w:rsid w:val="00163CD3"/>
    <w:rsid w:val="00181627"/>
    <w:rsid w:val="0018376A"/>
    <w:rsid w:val="0018384C"/>
    <w:rsid w:val="00187DD8"/>
    <w:rsid w:val="0019293C"/>
    <w:rsid w:val="00197F13"/>
    <w:rsid w:val="001A0C1D"/>
    <w:rsid w:val="001B1BC6"/>
    <w:rsid w:val="001B261D"/>
    <w:rsid w:val="001B5AD6"/>
    <w:rsid w:val="001C397D"/>
    <w:rsid w:val="001D6A83"/>
    <w:rsid w:val="001E2E5E"/>
    <w:rsid w:val="001F1B9D"/>
    <w:rsid w:val="001F2D6F"/>
    <w:rsid w:val="001F4D06"/>
    <w:rsid w:val="0020152C"/>
    <w:rsid w:val="00206458"/>
    <w:rsid w:val="002177C0"/>
    <w:rsid w:val="00222446"/>
    <w:rsid w:val="002231D4"/>
    <w:rsid w:val="00224B40"/>
    <w:rsid w:val="0023023F"/>
    <w:rsid w:val="0023472F"/>
    <w:rsid w:val="00241105"/>
    <w:rsid w:val="002466E6"/>
    <w:rsid w:val="00261242"/>
    <w:rsid w:val="00261293"/>
    <w:rsid w:val="00267530"/>
    <w:rsid w:val="002709C5"/>
    <w:rsid w:val="00274B5C"/>
    <w:rsid w:val="002757FB"/>
    <w:rsid w:val="00283635"/>
    <w:rsid w:val="00291852"/>
    <w:rsid w:val="00292583"/>
    <w:rsid w:val="00293D95"/>
    <w:rsid w:val="00295121"/>
    <w:rsid w:val="002A1667"/>
    <w:rsid w:val="002A2124"/>
    <w:rsid w:val="002A3485"/>
    <w:rsid w:val="002A47BB"/>
    <w:rsid w:val="002B49AB"/>
    <w:rsid w:val="002B6E7D"/>
    <w:rsid w:val="002C339F"/>
    <w:rsid w:val="002C4824"/>
    <w:rsid w:val="002C64D1"/>
    <w:rsid w:val="002C7368"/>
    <w:rsid w:val="002D5641"/>
    <w:rsid w:val="002E0B7D"/>
    <w:rsid w:val="002E1472"/>
    <w:rsid w:val="002E227F"/>
    <w:rsid w:val="002F0649"/>
    <w:rsid w:val="0030495B"/>
    <w:rsid w:val="0030545E"/>
    <w:rsid w:val="00313883"/>
    <w:rsid w:val="00314925"/>
    <w:rsid w:val="00317143"/>
    <w:rsid w:val="00317DF4"/>
    <w:rsid w:val="003260EB"/>
    <w:rsid w:val="003359E0"/>
    <w:rsid w:val="00337C9F"/>
    <w:rsid w:val="003404F7"/>
    <w:rsid w:val="00345474"/>
    <w:rsid w:val="0034565F"/>
    <w:rsid w:val="003463FA"/>
    <w:rsid w:val="00351583"/>
    <w:rsid w:val="00354F84"/>
    <w:rsid w:val="003629DD"/>
    <w:rsid w:val="00372822"/>
    <w:rsid w:val="00372F0B"/>
    <w:rsid w:val="00375013"/>
    <w:rsid w:val="003820B9"/>
    <w:rsid w:val="00384627"/>
    <w:rsid w:val="00384F4C"/>
    <w:rsid w:val="003936CE"/>
    <w:rsid w:val="003A5169"/>
    <w:rsid w:val="003A58FB"/>
    <w:rsid w:val="003B157A"/>
    <w:rsid w:val="003B5EB4"/>
    <w:rsid w:val="003B7537"/>
    <w:rsid w:val="003C4B7D"/>
    <w:rsid w:val="003C54EF"/>
    <w:rsid w:val="003D1EBA"/>
    <w:rsid w:val="003D76AE"/>
    <w:rsid w:val="003E0541"/>
    <w:rsid w:val="003E3B8B"/>
    <w:rsid w:val="003F46F6"/>
    <w:rsid w:val="0040285C"/>
    <w:rsid w:val="00402933"/>
    <w:rsid w:val="00407DC1"/>
    <w:rsid w:val="0041048B"/>
    <w:rsid w:val="004118C4"/>
    <w:rsid w:val="00413D00"/>
    <w:rsid w:val="00415239"/>
    <w:rsid w:val="004416B3"/>
    <w:rsid w:val="00450B61"/>
    <w:rsid w:val="00450BD7"/>
    <w:rsid w:val="00453E12"/>
    <w:rsid w:val="00467DF8"/>
    <w:rsid w:val="004702A1"/>
    <w:rsid w:val="004721F2"/>
    <w:rsid w:val="00475B13"/>
    <w:rsid w:val="00477D72"/>
    <w:rsid w:val="004920E1"/>
    <w:rsid w:val="004935AE"/>
    <w:rsid w:val="00493AD7"/>
    <w:rsid w:val="004A1891"/>
    <w:rsid w:val="004A3074"/>
    <w:rsid w:val="004A42BC"/>
    <w:rsid w:val="004B3D86"/>
    <w:rsid w:val="004B5EA3"/>
    <w:rsid w:val="004B6E62"/>
    <w:rsid w:val="004C07D3"/>
    <w:rsid w:val="004C7692"/>
    <w:rsid w:val="004C7790"/>
    <w:rsid w:val="004D37C9"/>
    <w:rsid w:val="004E260F"/>
    <w:rsid w:val="004E2EC5"/>
    <w:rsid w:val="004E4617"/>
    <w:rsid w:val="004F3F96"/>
    <w:rsid w:val="004F44B1"/>
    <w:rsid w:val="004F733C"/>
    <w:rsid w:val="00500C02"/>
    <w:rsid w:val="0050120A"/>
    <w:rsid w:val="0052139E"/>
    <w:rsid w:val="00521FCD"/>
    <w:rsid w:val="00533676"/>
    <w:rsid w:val="00540D93"/>
    <w:rsid w:val="00545326"/>
    <w:rsid w:val="005457DE"/>
    <w:rsid w:val="00552489"/>
    <w:rsid w:val="00561A23"/>
    <w:rsid w:val="00577F48"/>
    <w:rsid w:val="00581A17"/>
    <w:rsid w:val="00586B61"/>
    <w:rsid w:val="005878F8"/>
    <w:rsid w:val="00591CA2"/>
    <w:rsid w:val="005935B5"/>
    <w:rsid w:val="005945F5"/>
    <w:rsid w:val="0059563A"/>
    <w:rsid w:val="005962F3"/>
    <w:rsid w:val="005968DC"/>
    <w:rsid w:val="005A00E3"/>
    <w:rsid w:val="005A1481"/>
    <w:rsid w:val="005A3A68"/>
    <w:rsid w:val="005A6B0C"/>
    <w:rsid w:val="005B0895"/>
    <w:rsid w:val="005B5A81"/>
    <w:rsid w:val="005B7FF1"/>
    <w:rsid w:val="005C34AC"/>
    <w:rsid w:val="005D1318"/>
    <w:rsid w:val="005D26E3"/>
    <w:rsid w:val="005D3837"/>
    <w:rsid w:val="005D62F4"/>
    <w:rsid w:val="005D68AC"/>
    <w:rsid w:val="005D75D3"/>
    <w:rsid w:val="005E124E"/>
    <w:rsid w:val="005E38F0"/>
    <w:rsid w:val="005E78D3"/>
    <w:rsid w:val="005F0303"/>
    <w:rsid w:val="005F34D2"/>
    <w:rsid w:val="00607EF7"/>
    <w:rsid w:val="0061069F"/>
    <w:rsid w:val="00613225"/>
    <w:rsid w:val="0061451F"/>
    <w:rsid w:val="006145B3"/>
    <w:rsid w:val="00621133"/>
    <w:rsid w:val="00627E96"/>
    <w:rsid w:val="00631B9A"/>
    <w:rsid w:val="0063387A"/>
    <w:rsid w:val="006403C8"/>
    <w:rsid w:val="00642747"/>
    <w:rsid w:val="00642DF7"/>
    <w:rsid w:val="00654A96"/>
    <w:rsid w:val="00676331"/>
    <w:rsid w:val="00677358"/>
    <w:rsid w:val="00682C85"/>
    <w:rsid w:val="00683EAD"/>
    <w:rsid w:val="006902B4"/>
    <w:rsid w:val="0069093E"/>
    <w:rsid w:val="00692744"/>
    <w:rsid w:val="006964C9"/>
    <w:rsid w:val="006A0E6E"/>
    <w:rsid w:val="006A417B"/>
    <w:rsid w:val="006B2661"/>
    <w:rsid w:val="006C00EC"/>
    <w:rsid w:val="006C131B"/>
    <w:rsid w:val="006C1F92"/>
    <w:rsid w:val="006C4E37"/>
    <w:rsid w:val="006C5272"/>
    <w:rsid w:val="006C7E05"/>
    <w:rsid w:val="006D218C"/>
    <w:rsid w:val="006D2504"/>
    <w:rsid w:val="006D61A8"/>
    <w:rsid w:val="006E1A22"/>
    <w:rsid w:val="006E211F"/>
    <w:rsid w:val="006E2288"/>
    <w:rsid w:val="006E3340"/>
    <w:rsid w:val="006E4BB9"/>
    <w:rsid w:val="006E556C"/>
    <w:rsid w:val="006F1318"/>
    <w:rsid w:val="006F15A8"/>
    <w:rsid w:val="006F1A79"/>
    <w:rsid w:val="006F1B33"/>
    <w:rsid w:val="00701C28"/>
    <w:rsid w:val="00704CC2"/>
    <w:rsid w:val="00705064"/>
    <w:rsid w:val="00707706"/>
    <w:rsid w:val="007144EA"/>
    <w:rsid w:val="00715E40"/>
    <w:rsid w:val="0072601A"/>
    <w:rsid w:val="007266C9"/>
    <w:rsid w:val="00727AA1"/>
    <w:rsid w:val="007329FD"/>
    <w:rsid w:val="00732F20"/>
    <w:rsid w:val="007338CF"/>
    <w:rsid w:val="007423C5"/>
    <w:rsid w:val="0074356D"/>
    <w:rsid w:val="00751B6E"/>
    <w:rsid w:val="0075470F"/>
    <w:rsid w:val="007555CC"/>
    <w:rsid w:val="00755E39"/>
    <w:rsid w:val="00756E8D"/>
    <w:rsid w:val="00763B06"/>
    <w:rsid w:val="007669BE"/>
    <w:rsid w:val="00766CE6"/>
    <w:rsid w:val="0077413F"/>
    <w:rsid w:val="00786061"/>
    <w:rsid w:val="007874C6"/>
    <w:rsid w:val="00787B4F"/>
    <w:rsid w:val="007A0DF1"/>
    <w:rsid w:val="007A60B9"/>
    <w:rsid w:val="007A651D"/>
    <w:rsid w:val="007A65D4"/>
    <w:rsid w:val="007A7992"/>
    <w:rsid w:val="007B06DB"/>
    <w:rsid w:val="007B69E7"/>
    <w:rsid w:val="007B7DF0"/>
    <w:rsid w:val="007C41ED"/>
    <w:rsid w:val="007C639F"/>
    <w:rsid w:val="007D0CF1"/>
    <w:rsid w:val="007D3EEE"/>
    <w:rsid w:val="007D6271"/>
    <w:rsid w:val="007E01FD"/>
    <w:rsid w:val="007E1577"/>
    <w:rsid w:val="007E5753"/>
    <w:rsid w:val="007E765A"/>
    <w:rsid w:val="007F152C"/>
    <w:rsid w:val="007F6C36"/>
    <w:rsid w:val="00802F0F"/>
    <w:rsid w:val="00833275"/>
    <w:rsid w:val="00833C1E"/>
    <w:rsid w:val="00842998"/>
    <w:rsid w:val="008431F9"/>
    <w:rsid w:val="008457F0"/>
    <w:rsid w:val="008475E9"/>
    <w:rsid w:val="00847A77"/>
    <w:rsid w:val="008561E4"/>
    <w:rsid w:val="008604F5"/>
    <w:rsid w:val="00865F45"/>
    <w:rsid w:val="00871632"/>
    <w:rsid w:val="00871AF6"/>
    <w:rsid w:val="00872DBB"/>
    <w:rsid w:val="00873849"/>
    <w:rsid w:val="0089439C"/>
    <w:rsid w:val="008A2B5D"/>
    <w:rsid w:val="008A5A5F"/>
    <w:rsid w:val="008A6E09"/>
    <w:rsid w:val="008B1BB8"/>
    <w:rsid w:val="008B4574"/>
    <w:rsid w:val="008B4E2C"/>
    <w:rsid w:val="008D1213"/>
    <w:rsid w:val="008D2BE2"/>
    <w:rsid w:val="008D2CEA"/>
    <w:rsid w:val="008E041E"/>
    <w:rsid w:val="008E79F7"/>
    <w:rsid w:val="008F2364"/>
    <w:rsid w:val="008F530B"/>
    <w:rsid w:val="008F537D"/>
    <w:rsid w:val="009012DE"/>
    <w:rsid w:val="00906832"/>
    <w:rsid w:val="00911C1C"/>
    <w:rsid w:val="009218A5"/>
    <w:rsid w:val="00925327"/>
    <w:rsid w:val="009337CD"/>
    <w:rsid w:val="0096634A"/>
    <w:rsid w:val="0097178F"/>
    <w:rsid w:val="00974340"/>
    <w:rsid w:val="009776B3"/>
    <w:rsid w:val="00980CB5"/>
    <w:rsid w:val="009835F9"/>
    <w:rsid w:val="009A1CA1"/>
    <w:rsid w:val="009A22EC"/>
    <w:rsid w:val="009A492B"/>
    <w:rsid w:val="009A51FF"/>
    <w:rsid w:val="009B32F1"/>
    <w:rsid w:val="009B3D1D"/>
    <w:rsid w:val="009B6372"/>
    <w:rsid w:val="009C1CF7"/>
    <w:rsid w:val="009E0B5B"/>
    <w:rsid w:val="009E6808"/>
    <w:rsid w:val="00A040B7"/>
    <w:rsid w:val="00A1700B"/>
    <w:rsid w:val="00A21AA0"/>
    <w:rsid w:val="00A21EC6"/>
    <w:rsid w:val="00A2566B"/>
    <w:rsid w:val="00A30399"/>
    <w:rsid w:val="00A345EA"/>
    <w:rsid w:val="00A353D4"/>
    <w:rsid w:val="00A366F2"/>
    <w:rsid w:val="00A37C46"/>
    <w:rsid w:val="00A41F77"/>
    <w:rsid w:val="00A425FD"/>
    <w:rsid w:val="00A42FA4"/>
    <w:rsid w:val="00A54134"/>
    <w:rsid w:val="00A64D09"/>
    <w:rsid w:val="00A70767"/>
    <w:rsid w:val="00A70FB2"/>
    <w:rsid w:val="00A80E2D"/>
    <w:rsid w:val="00A91EBF"/>
    <w:rsid w:val="00A9549E"/>
    <w:rsid w:val="00AA10AF"/>
    <w:rsid w:val="00AA10FC"/>
    <w:rsid w:val="00AA454E"/>
    <w:rsid w:val="00AB3E44"/>
    <w:rsid w:val="00AB5A38"/>
    <w:rsid w:val="00AC2738"/>
    <w:rsid w:val="00AD5801"/>
    <w:rsid w:val="00AD5B7A"/>
    <w:rsid w:val="00AE386D"/>
    <w:rsid w:val="00AF1B64"/>
    <w:rsid w:val="00AF2D7B"/>
    <w:rsid w:val="00B136D2"/>
    <w:rsid w:val="00B14B93"/>
    <w:rsid w:val="00B21341"/>
    <w:rsid w:val="00B23FAB"/>
    <w:rsid w:val="00B30CAB"/>
    <w:rsid w:val="00B30E12"/>
    <w:rsid w:val="00B41744"/>
    <w:rsid w:val="00B4263D"/>
    <w:rsid w:val="00B4306E"/>
    <w:rsid w:val="00B449C4"/>
    <w:rsid w:val="00B477B4"/>
    <w:rsid w:val="00B505DE"/>
    <w:rsid w:val="00B509B1"/>
    <w:rsid w:val="00B53623"/>
    <w:rsid w:val="00B552EF"/>
    <w:rsid w:val="00B6145A"/>
    <w:rsid w:val="00B61FA8"/>
    <w:rsid w:val="00B62020"/>
    <w:rsid w:val="00B70874"/>
    <w:rsid w:val="00B729C3"/>
    <w:rsid w:val="00B841D4"/>
    <w:rsid w:val="00B87C81"/>
    <w:rsid w:val="00B90668"/>
    <w:rsid w:val="00BB2357"/>
    <w:rsid w:val="00BC2512"/>
    <w:rsid w:val="00BC36B0"/>
    <w:rsid w:val="00BD4FFD"/>
    <w:rsid w:val="00BE053B"/>
    <w:rsid w:val="00BE2F7F"/>
    <w:rsid w:val="00BE7342"/>
    <w:rsid w:val="00C14DDD"/>
    <w:rsid w:val="00C223F3"/>
    <w:rsid w:val="00C23A37"/>
    <w:rsid w:val="00C2462D"/>
    <w:rsid w:val="00C30751"/>
    <w:rsid w:val="00C342C5"/>
    <w:rsid w:val="00C40CA3"/>
    <w:rsid w:val="00C43F11"/>
    <w:rsid w:val="00C445A0"/>
    <w:rsid w:val="00C50636"/>
    <w:rsid w:val="00C52B7B"/>
    <w:rsid w:val="00C54B0B"/>
    <w:rsid w:val="00C568F4"/>
    <w:rsid w:val="00C605AD"/>
    <w:rsid w:val="00C92404"/>
    <w:rsid w:val="00C97D94"/>
    <w:rsid w:val="00CA1777"/>
    <w:rsid w:val="00CB07B2"/>
    <w:rsid w:val="00CB1DE4"/>
    <w:rsid w:val="00CB4C5F"/>
    <w:rsid w:val="00CB601A"/>
    <w:rsid w:val="00CD0070"/>
    <w:rsid w:val="00CD1D3E"/>
    <w:rsid w:val="00CD6C38"/>
    <w:rsid w:val="00CD7F67"/>
    <w:rsid w:val="00CE0FCA"/>
    <w:rsid w:val="00CE3150"/>
    <w:rsid w:val="00CF3E92"/>
    <w:rsid w:val="00D01744"/>
    <w:rsid w:val="00D02F33"/>
    <w:rsid w:val="00D04278"/>
    <w:rsid w:val="00D07759"/>
    <w:rsid w:val="00D078C1"/>
    <w:rsid w:val="00D1495A"/>
    <w:rsid w:val="00D24ACF"/>
    <w:rsid w:val="00D25C5D"/>
    <w:rsid w:val="00D268EE"/>
    <w:rsid w:val="00D305D0"/>
    <w:rsid w:val="00D34571"/>
    <w:rsid w:val="00D37A58"/>
    <w:rsid w:val="00D508AD"/>
    <w:rsid w:val="00D558A7"/>
    <w:rsid w:val="00D73AAD"/>
    <w:rsid w:val="00D7436F"/>
    <w:rsid w:val="00D81D39"/>
    <w:rsid w:val="00D82C6D"/>
    <w:rsid w:val="00D92098"/>
    <w:rsid w:val="00D96BEA"/>
    <w:rsid w:val="00DA4523"/>
    <w:rsid w:val="00DA6677"/>
    <w:rsid w:val="00DB3497"/>
    <w:rsid w:val="00DB42D0"/>
    <w:rsid w:val="00DB6DE6"/>
    <w:rsid w:val="00DC2A7A"/>
    <w:rsid w:val="00DE4C3E"/>
    <w:rsid w:val="00DE50F4"/>
    <w:rsid w:val="00DF3FCD"/>
    <w:rsid w:val="00E060D7"/>
    <w:rsid w:val="00E32CC8"/>
    <w:rsid w:val="00E36293"/>
    <w:rsid w:val="00E446D3"/>
    <w:rsid w:val="00E50E1B"/>
    <w:rsid w:val="00E528BA"/>
    <w:rsid w:val="00E57596"/>
    <w:rsid w:val="00E61C64"/>
    <w:rsid w:val="00E64A5B"/>
    <w:rsid w:val="00E655E8"/>
    <w:rsid w:val="00E721F4"/>
    <w:rsid w:val="00E73A16"/>
    <w:rsid w:val="00E820D7"/>
    <w:rsid w:val="00E82DAA"/>
    <w:rsid w:val="00E84CCE"/>
    <w:rsid w:val="00E8520A"/>
    <w:rsid w:val="00E85548"/>
    <w:rsid w:val="00E9027C"/>
    <w:rsid w:val="00E90FB3"/>
    <w:rsid w:val="00E91142"/>
    <w:rsid w:val="00E934AC"/>
    <w:rsid w:val="00E9774B"/>
    <w:rsid w:val="00EA6732"/>
    <w:rsid w:val="00EB7B35"/>
    <w:rsid w:val="00EC2D39"/>
    <w:rsid w:val="00EC39CB"/>
    <w:rsid w:val="00EC50E8"/>
    <w:rsid w:val="00EC5BCB"/>
    <w:rsid w:val="00EC7578"/>
    <w:rsid w:val="00ED509D"/>
    <w:rsid w:val="00EE3C4C"/>
    <w:rsid w:val="00EE7763"/>
    <w:rsid w:val="00F029A1"/>
    <w:rsid w:val="00F04DA3"/>
    <w:rsid w:val="00F06537"/>
    <w:rsid w:val="00F1126A"/>
    <w:rsid w:val="00F17F83"/>
    <w:rsid w:val="00F41A7C"/>
    <w:rsid w:val="00F503F5"/>
    <w:rsid w:val="00F62F1E"/>
    <w:rsid w:val="00F65DDE"/>
    <w:rsid w:val="00F8093D"/>
    <w:rsid w:val="00F80E40"/>
    <w:rsid w:val="00F92755"/>
    <w:rsid w:val="00F979A2"/>
    <w:rsid w:val="00FA3A9E"/>
    <w:rsid w:val="00FA4E36"/>
    <w:rsid w:val="00FB1649"/>
    <w:rsid w:val="00FB5B13"/>
    <w:rsid w:val="00FC6FCA"/>
    <w:rsid w:val="00FD1F8B"/>
    <w:rsid w:val="00FD3E30"/>
    <w:rsid w:val="00FD3FDB"/>
    <w:rsid w:val="00FF024B"/>
    <w:rsid w:val="00FF4E91"/>
    <w:rsid w:val="00FF5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tilde-lv/tildestengine" w:name="currency2"/>
  <w:shapeDefaults>
    <o:shapedefaults v:ext="edit" spidmax="2050"/>
    <o:shapelayout v:ext="edit">
      <o:idmap v:ext="edit" data="1"/>
    </o:shapelayout>
  </w:shapeDefaults>
  <w:decimalSymbol w:val="."/>
  <w:listSeparator w:val=";"/>
  <w15:chartTrackingRefBased/>
  <w15:docId w15:val="{EDBC385F-99E7-44F4-9A6B-535F5CD6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548"/>
    <w:rPr>
      <w:bCs/>
      <w:sz w:val="24"/>
      <w:lang w:eastAsia="en-US"/>
    </w:rPr>
  </w:style>
  <w:style w:type="paragraph" w:styleId="Heading2">
    <w:name w:val="heading 2"/>
    <w:basedOn w:val="Normal"/>
    <w:next w:val="Normal"/>
    <w:link w:val="Heading2Char"/>
    <w:qFormat/>
    <w:rsid w:val="00E85548"/>
    <w:pPr>
      <w:keepNext/>
      <w:outlineLvl w:val="1"/>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5548"/>
    <w:pPr>
      <w:tabs>
        <w:tab w:val="center" w:pos="4153"/>
        <w:tab w:val="right" w:pos="8306"/>
      </w:tabs>
    </w:pPr>
  </w:style>
  <w:style w:type="character" w:styleId="PageNumber">
    <w:name w:val="page number"/>
    <w:basedOn w:val="DefaultParagraphFont"/>
    <w:rsid w:val="00E85548"/>
  </w:style>
  <w:style w:type="paragraph" w:styleId="Header">
    <w:name w:val="header"/>
    <w:basedOn w:val="Normal"/>
    <w:rsid w:val="00FF4E91"/>
    <w:pPr>
      <w:tabs>
        <w:tab w:val="center" w:pos="4153"/>
        <w:tab w:val="right" w:pos="8306"/>
      </w:tabs>
    </w:pPr>
  </w:style>
  <w:style w:type="paragraph" w:styleId="BalloonText">
    <w:name w:val="Balloon Text"/>
    <w:basedOn w:val="Normal"/>
    <w:semiHidden/>
    <w:rsid w:val="00FF4E91"/>
    <w:rPr>
      <w:rFonts w:ascii="Tahoma" w:hAnsi="Tahoma" w:cs="Tahoma"/>
      <w:sz w:val="16"/>
      <w:szCs w:val="16"/>
    </w:rPr>
  </w:style>
  <w:style w:type="character" w:styleId="CommentReference">
    <w:name w:val="annotation reference"/>
    <w:basedOn w:val="DefaultParagraphFont"/>
    <w:semiHidden/>
    <w:rsid w:val="004C7692"/>
    <w:rPr>
      <w:sz w:val="16"/>
      <w:szCs w:val="16"/>
    </w:rPr>
  </w:style>
  <w:style w:type="paragraph" w:styleId="CommentText">
    <w:name w:val="annotation text"/>
    <w:basedOn w:val="Normal"/>
    <w:semiHidden/>
    <w:rsid w:val="004C7692"/>
    <w:rPr>
      <w:sz w:val="20"/>
    </w:rPr>
  </w:style>
  <w:style w:type="paragraph" w:styleId="CommentSubject">
    <w:name w:val="annotation subject"/>
    <w:basedOn w:val="CommentText"/>
    <w:next w:val="CommentText"/>
    <w:semiHidden/>
    <w:rsid w:val="004C7692"/>
    <w:rPr>
      <w:b/>
    </w:rPr>
  </w:style>
  <w:style w:type="paragraph" w:customStyle="1" w:styleId="naisf">
    <w:name w:val="naisf"/>
    <w:basedOn w:val="Normal"/>
    <w:rsid w:val="002757FB"/>
    <w:pPr>
      <w:spacing w:before="100" w:beforeAutospacing="1" w:after="100" w:afterAutospacing="1"/>
    </w:pPr>
    <w:rPr>
      <w:bCs w:val="0"/>
      <w:szCs w:val="24"/>
      <w:lang w:eastAsia="lv-LV"/>
    </w:rPr>
  </w:style>
  <w:style w:type="paragraph" w:styleId="NormalWeb">
    <w:name w:val="Normal (Web)"/>
    <w:basedOn w:val="Normal"/>
    <w:uiPriority w:val="99"/>
    <w:unhideWhenUsed/>
    <w:rsid w:val="007A60B9"/>
    <w:pPr>
      <w:spacing w:before="100" w:beforeAutospacing="1" w:after="100" w:afterAutospacing="1"/>
    </w:pPr>
    <w:rPr>
      <w:bCs w:val="0"/>
      <w:szCs w:val="24"/>
      <w:lang w:eastAsia="lv-LV"/>
    </w:rPr>
  </w:style>
  <w:style w:type="paragraph" w:styleId="BodyTextIndent">
    <w:name w:val="Body Text Indent"/>
    <w:basedOn w:val="Normal"/>
    <w:link w:val="BodyTextIndentChar"/>
    <w:rsid w:val="00291852"/>
    <w:pPr>
      <w:ind w:firstLine="540"/>
      <w:jc w:val="both"/>
    </w:pPr>
    <w:rPr>
      <w:rFonts w:eastAsia="Calibri"/>
      <w:bCs w:val="0"/>
      <w:sz w:val="28"/>
      <w:lang w:val="en-US" w:eastAsia="lv-LV"/>
    </w:rPr>
  </w:style>
  <w:style w:type="character" w:customStyle="1" w:styleId="BodyTextIndentChar">
    <w:name w:val="Body Text Indent Char"/>
    <w:basedOn w:val="DefaultParagraphFont"/>
    <w:link w:val="BodyTextIndent"/>
    <w:rsid w:val="00291852"/>
    <w:rPr>
      <w:rFonts w:eastAsia="Calibri"/>
      <w:sz w:val="28"/>
      <w:lang w:val="en-US"/>
    </w:rPr>
  </w:style>
  <w:style w:type="character" w:styleId="Hyperlink">
    <w:name w:val="Hyperlink"/>
    <w:basedOn w:val="DefaultParagraphFont"/>
    <w:rsid w:val="008D2CEA"/>
    <w:rPr>
      <w:color w:val="0000FF"/>
      <w:u w:val="single"/>
    </w:rPr>
  </w:style>
  <w:style w:type="paragraph" w:styleId="BodyTextIndent2">
    <w:name w:val="Body Text Indent 2"/>
    <w:basedOn w:val="Normal"/>
    <w:link w:val="BodyTextIndent2Char"/>
    <w:rsid w:val="004D37C9"/>
    <w:pPr>
      <w:spacing w:after="120" w:line="480" w:lineRule="auto"/>
      <w:ind w:left="283"/>
    </w:pPr>
  </w:style>
  <w:style w:type="character" w:customStyle="1" w:styleId="BodyTextIndent2Char">
    <w:name w:val="Body Text Indent 2 Char"/>
    <w:basedOn w:val="DefaultParagraphFont"/>
    <w:link w:val="BodyTextIndent2"/>
    <w:rsid w:val="004D37C9"/>
    <w:rPr>
      <w:bCs/>
      <w:sz w:val="24"/>
      <w:lang w:eastAsia="en-US"/>
    </w:rPr>
  </w:style>
  <w:style w:type="paragraph" w:styleId="BodyTextIndent3">
    <w:name w:val="Body Text Indent 3"/>
    <w:basedOn w:val="Normal"/>
    <w:link w:val="BodyTextIndent3Char"/>
    <w:rsid w:val="004D37C9"/>
    <w:pPr>
      <w:spacing w:after="120"/>
      <w:ind w:left="283"/>
    </w:pPr>
    <w:rPr>
      <w:sz w:val="16"/>
      <w:szCs w:val="16"/>
    </w:rPr>
  </w:style>
  <w:style w:type="character" w:customStyle="1" w:styleId="BodyTextIndent3Char">
    <w:name w:val="Body Text Indent 3 Char"/>
    <w:basedOn w:val="DefaultParagraphFont"/>
    <w:link w:val="BodyTextIndent3"/>
    <w:rsid w:val="004D37C9"/>
    <w:rPr>
      <w:bCs/>
      <w:sz w:val="16"/>
      <w:szCs w:val="16"/>
      <w:lang w:eastAsia="en-US"/>
    </w:rPr>
  </w:style>
  <w:style w:type="character" w:customStyle="1" w:styleId="FooterChar">
    <w:name w:val="Footer Char"/>
    <w:basedOn w:val="DefaultParagraphFont"/>
    <w:link w:val="Footer"/>
    <w:uiPriority w:val="99"/>
    <w:rsid w:val="0030545E"/>
    <w:rPr>
      <w:bCs/>
      <w:sz w:val="24"/>
      <w:lang w:eastAsia="en-US"/>
    </w:rPr>
  </w:style>
  <w:style w:type="paragraph" w:styleId="Revision">
    <w:name w:val="Revision"/>
    <w:hidden/>
    <w:uiPriority w:val="99"/>
    <w:semiHidden/>
    <w:rsid w:val="003820B9"/>
    <w:rPr>
      <w:bCs/>
      <w:sz w:val="24"/>
      <w:lang w:eastAsia="en-US"/>
    </w:rPr>
  </w:style>
  <w:style w:type="character" w:customStyle="1" w:styleId="Heading2Char">
    <w:name w:val="Heading 2 Char"/>
    <w:basedOn w:val="DefaultParagraphFont"/>
    <w:link w:val="Heading2"/>
    <w:rsid w:val="00467DF8"/>
    <w:rPr>
      <w:b/>
      <w:sz w:val="24"/>
      <w:lang w:eastAsia="en-US"/>
    </w:rPr>
  </w:style>
  <w:style w:type="paragraph" w:styleId="ListParagraph">
    <w:name w:val="List Paragraph"/>
    <w:basedOn w:val="Normal"/>
    <w:uiPriority w:val="34"/>
    <w:qFormat/>
    <w:rsid w:val="00467DF8"/>
    <w:pPr>
      <w:spacing w:after="200" w:line="276" w:lineRule="auto"/>
      <w:ind w:left="720"/>
      <w:contextualSpacing/>
    </w:pPr>
    <w:rPr>
      <w:rFonts w:ascii="Calibri" w:eastAsia="Calibri" w:hAnsi="Calibri"/>
      <w:bCs w:val="0"/>
      <w:sz w:val="22"/>
      <w:szCs w:val="22"/>
    </w:rPr>
  </w:style>
  <w:style w:type="paragraph" w:styleId="Title">
    <w:name w:val="Title"/>
    <w:basedOn w:val="Normal"/>
    <w:link w:val="TitleChar"/>
    <w:qFormat/>
    <w:rsid w:val="00467DF8"/>
    <w:pPr>
      <w:jc w:val="center"/>
    </w:pPr>
    <w:rPr>
      <w:b/>
      <w:bCs w:val="0"/>
      <w:sz w:val="28"/>
      <w:lang w:eastAsia="lv-LV"/>
    </w:rPr>
  </w:style>
  <w:style w:type="character" w:customStyle="1" w:styleId="TitleChar">
    <w:name w:val="Title Char"/>
    <w:basedOn w:val="DefaultParagraphFont"/>
    <w:link w:val="Title"/>
    <w:rsid w:val="00467DF8"/>
    <w:rPr>
      <w:b/>
      <w:sz w:val="28"/>
    </w:rPr>
  </w:style>
  <w:style w:type="paragraph" w:customStyle="1" w:styleId="naiskr">
    <w:name w:val="naiskr"/>
    <w:basedOn w:val="Normal"/>
    <w:rsid w:val="000228E4"/>
    <w:pPr>
      <w:spacing w:before="100" w:beforeAutospacing="1" w:after="100" w:afterAutospacing="1"/>
    </w:pPr>
    <w:rPr>
      <w:rFonts w:eastAsia="Calibri"/>
      <w:bCs w:val="0"/>
      <w:szCs w:val="24"/>
      <w:lang w:eastAsia="lv-LV"/>
    </w:rPr>
  </w:style>
  <w:style w:type="paragraph" w:styleId="BodyText">
    <w:name w:val="Body Text"/>
    <w:basedOn w:val="Normal"/>
    <w:link w:val="BodyTextChar"/>
    <w:rsid w:val="00B87C81"/>
    <w:pPr>
      <w:spacing w:after="120"/>
    </w:pPr>
  </w:style>
  <w:style w:type="character" w:customStyle="1" w:styleId="BodyTextChar">
    <w:name w:val="Body Text Char"/>
    <w:basedOn w:val="DefaultParagraphFont"/>
    <w:link w:val="BodyText"/>
    <w:rsid w:val="00B87C81"/>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2201">
      <w:bodyDiv w:val="1"/>
      <w:marLeft w:val="0"/>
      <w:marRight w:val="0"/>
      <w:marTop w:val="0"/>
      <w:marBottom w:val="0"/>
      <w:divBdr>
        <w:top w:val="none" w:sz="0" w:space="0" w:color="auto"/>
        <w:left w:val="none" w:sz="0" w:space="0" w:color="auto"/>
        <w:bottom w:val="none" w:sz="0" w:space="0" w:color="auto"/>
        <w:right w:val="none" w:sz="0" w:space="0" w:color="auto"/>
      </w:divBdr>
    </w:div>
    <w:div w:id="138152107">
      <w:bodyDiv w:val="1"/>
      <w:marLeft w:val="0"/>
      <w:marRight w:val="0"/>
      <w:marTop w:val="0"/>
      <w:marBottom w:val="0"/>
      <w:divBdr>
        <w:top w:val="none" w:sz="0" w:space="0" w:color="auto"/>
        <w:left w:val="none" w:sz="0" w:space="0" w:color="auto"/>
        <w:bottom w:val="none" w:sz="0" w:space="0" w:color="auto"/>
        <w:right w:val="none" w:sz="0" w:space="0" w:color="auto"/>
      </w:divBdr>
    </w:div>
    <w:div w:id="251282730">
      <w:bodyDiv w:val="1"/>
      <w:marLeft w:val="0"/>
      <w:marRight w:val="0"/>
      <w:marTop w:val="0"/>
      <w:marBottom w:val="0"/>
      <w:divBdr>
        <w:top w:val="none" w:sz="0" w:space="0" w:color="auto"/>
        <w:left w:val="none" w:sz="0" w:space="0" w:color="auto"/>
        <w:bottom w:val="none" w:sz="0" w:space="0" w:color="auto"/>
        <w:right w:val="none" w:sz="0" w:space="0" w:color="auto"/>
      </w:divBdr>
    </w:div>
    <w:div w:id="279844987">
      <w:bodyDiv w:val="1"/>
      <w:marLeft w:val="0"/>
      <w:marRight w:val="0"/>
      <w:marTop w:val="0"/>
      <w:marBottom w:val="0"/>
      <w:divBdr>
        <w:top w:val="none" w:sz="0" w:space="0" w:color="auto"/>
        <w:left w:val="none" w:sz="0" w:space="0" w:color="auto"/>
        <w:bottom w:val="none" w:sz="0" w:space="0" w:color="auto"/>
        <w:right w:val="none" w:sz="0" w:space="0" w:color="auto"/>
      </w:divBdr>
    </w:div>
    <w:div w:id="286739187">
      <w:bodyDiv w:val="1"/>
      <w:marLeft w:val="0"/>
      <w:marRight w:val="0"/>
      <w:marTop w:val="0"/>
      <w:marBottom w:val="0"/>
      <w:divBdr>
        <w:top w:val="none" w:sz="0" w:space="0" w:color="auto"/>
        <w:left w:val="none" w:sz="0" w:space="0" w:color="auto"/>
        <w:bottom w:val="none" w:sz="0" w:space="0" w:color="auto"/>
        <w:right w:val="none" w:sz="0" w:space="0" w:color="auto"/>
      </w:divBdr>
    </w:div>
    <w:div w:id="663313462">
      <w:bodyDiv w:val="1"/>
      <w:marLeft w:val="0"/>
      <w:marRight w:val="0"/>
      <w:marTop w:val="0"/>
      <w:marBottom w:val="0"/>
      <w:divBdr>
        <w:top w:val="none" w:sz="0" w:space="0" w:color="auto"/>
        <w:left w:val="none" w:sz="0" w:space="0" w:color="auto"/>
        <w:bottom w:val="none" w:sz="0" w:space="0" w:color="auto"/>
        <w:right w:val="none" w:sz="0" w:space="0" w:color="auto"/>
      </w:divBdr>
    </w:div>
    <w:div w:id="911696220">
      <w:bodyDiv w:val="1"/>
      <w:marLeft w:val="0"/>
      <w:marRight w:val="0"/>
      <w:marTop w:val="0"/>
      <w:marBottom w:val="0"/>
      <w:divBdr>
        <w:top w:val="none" w:sz="0" w:space="0" w:color="auto"/>
        <w:left w:val="none" w:sz="0" w:space="0" w:color="auto"/>
        <w:bottom w:val="none" w:sz="0" w:space="0" w:color="auto"/>
        <w:right w:val="none" w:sz="0" w:space="0" w:color="auto"/>
      </w:divBdr>
    </w:div>
    <w:div w:id="1062213218">
      <w:bodyDiv w:val="1"/>
      <w:marLeft w:val="0"/>
      <w:marRight w:val="0"/>
      <w:marTop w:val="0"/>
      <w:marBottom w:val="0"/>
      <w:divBdr>
        <w:top w:val="none" w:sz="0" w:space="0" w:color="auto"/>
        <w:left w:val="none" w:sz="0" w:space="0" w:color="auto"/>
        <w:bottom w:val="none" w:sz="0" w:space="0" w:color="auto"/>
        <w:right w:val="none" w:sz="0" w:space="0" w:color="auto"/>
      </w:divBdr>
    </w:div>
    <w:div w:id="1318191962">
      <w:bodyDiv w:val="1"/>
      <w:marLeft w:val="0"/>
      <w:marRight w:val="0"/>
      <w:marTop w:val="0"/>
      <w:marBottom w:val="0"/>
      <w:divBdr>
        <w:top w:val="none" w:sz="0" w:space="0" w:color="auto"/>
        <w:left w:val="none" w:sz="0" w:space="0" w:color="auto"/>
        <w:bottom w:val="none" w:sz="0" w:space="0" w:color="auto"/>
        <w:right w:val="none" w:sz="0" w:space="0" w:color="auto"/>
      </w:divBdr>
    </w:div>
    <w:div w:id="1492985752">
      <w:bodyDiv w:val="1"/>
      <w:marLeft w:val="0"/>
      <w:marRight w:val="0"/>
      <w:marTop w:val="0"/>
      <w:marBottom w:val="0"/>
      <w:divBdr>
        <w:top w:val="none" w:sz="0" w:space="0" w:color="auto"/>
        <w:left w:val="none" w:sz="0" w:space="0" w:color="auto"/>
        <w:bottom w:val="none" w:sz="0" w:space="0" w:color="auto"/>
        <w:right w:val="none" w:sz="0" w:space="0" w:color="auto"/>
      </w:divBdr>
    </w:div>
    <w:div w:id="1590037083">
      <w:bodyDiv w:val="1"/>
      <w:marLeft w:val="0"/>
      <w:marRight w:val="0"/>
      <w:marTop w:val="0"/>
      <w:marBottom w:val="0"/>
      <w:divBdr>
        <w:top w:val="none" w:sz="0" w:space="0" w:color="auto"/>
        <w:left w:val="none" w:sz="0" w:space="0" w:color="auto"/>
        <w:bottom w:val="none" w:sz="0" w:space="0" w:color="auto"/>
        <w:right w:val="none" w:sz="0" w:space="0" w:color="auto"/>
      </w:divBdr>
    </w:div>
    <w:div w:id="1605117095">
      <w:bodyDiv w:val="1"/>
      <w:marLeft w:val="0"/>
      <w:marRight w:val="0"/>
      <w:marTop w:val="0"/>
      <w:marBottom w:val="0"/>
      <w:divBdr>
        <w:top w:val="none" w:sz="0" w:space="0" w:color="auto"/>
        <w:left w:val="none" w:sz="0" w:space="0" w:color="auto"/>
        <w:bottom w:val="none" w:sz="0" w:space="0" w:color="auto"/>
        <w:right w:val="none" w:sz="0" w:space="0" w:color="auto"/>
      </w:divBdr>
    </w:div>
    <w:div w:id="1623613033">
      <w:bodyDiv w:val="1"/>
      <w:marLeft w:val="0"/>
      <w:marRight w:val="0"/>
      <w:marTop w:val="0"/>
      <w:marBottom w:val="0"/>
      <w:divBdr>
        <w:top w:val="none" w:sz="0" w:space="0" w:color="auto"/>
        <w:left w:val="none" w:sz="0" w:space="0" w:color="auto"/>
        <w:bottom w:val="none" w:sz="0" w:space="0" w:color="auto"/>
        <w:right w:val="none" w:sz="0" w:space="0" w:color="auto"/>
      </w:divBdr>
    </w:div>
    <w:div w:id="1637569805">
      <w:bodyDiv w:val="1"/>
      <w:marLeft w:val="0"/>
      <w:marRight w:val="0"/>
      <w:marTop w:val="0"/>
      <w:marBottom w:val="0"/>
      <w:divBdr>
        <w:top w:val="none" w:sz="0" w:space="0" w:color="auto"/>
        <w:left w:val="none" w:sz="0" w:space="0" w:color="auto"/>
        <w:bottom w:val="none" w:sz="0" w:space="0" w:color="auto"/>
        <w:right w:val="none" w:sz="0" w:space="0" w:color="auto"/>
      </w:divBdr>
    </w:div>
    <w:div w:id="1733432444">
      <w:bodyDiv w:val="1"/>
      <w:marLeft w:val="0"/>
      <w:marRight w:val="0"/>
      <w:marTop w:val="0"/>
      <w:marBottom w:val="0"/>
      <w:divBdr>
        <w:top w:val="none" w:sz="0" w:space="0" w:color="auto"/>
        <w:left w:val="none" w:sz="0" w:space="0" w:color="auto"/>
        <w:bottom w:val="none" w:sz="0" w:space="0" w:color="auto"/>
        <w:right w:val="none" w:sz="0" w:space="0" w:color="auto"/>
      </w:divBdr>
    </w:div>
    <w:div w:id="1750270503">
      <w:bodyDiv w:val="1"/>
      <w:marLeft w:val="0"/>
      <w:marRight w:val="0"/>
      <w:marTop w:val="0"/>
      <w:marBottom w:val="0"/>
      <w:divBdr>
        <w:top w:val="none" w:sz="0" w:space="0" w:color="auto"/>
        <w:left w:val="none" w:sz="0" w:space="0" w:color="auto"/>
        <w:bottom w:val="none" w:sz="0" w:space="0" w:color="auto"/>
        <w:right w:val="none" w:sz="0" w:space="0" w:color="auto"/>
      </w:divBdr>
    </w:div>
    <w:div w:id="1753504819">
      <w:bodyDiv w:val="1"/>
      <w:marLeft w:val="0"/>
      <w:marRight w:val="0"/>
      <w:marTop w:val="0"/>
      <w:marBottom w:val="0"/>
      <w:divBdr>
        <w:top w:val="none" w:sz="0" w:space="0" w:color="auto"/>
        <w:left w:val="none" w:sz="0" w:space="0" w:color="auto"/>
        <w:bottom w:val="none" w:sz="0" w:space="0" w:color="auto"/>
        <w:right w:val="none" w:sz="0" w:space="0" w:color="auto"/>
      </w:divBdr>
    </w:div>
    <w:div w:id="1771897432">
      <w:bodyDiv w:val="1"/>
      <w:marLeft w:val="0"/>
      <w:marRight w:val="0"/>
      <w:marTop w:val="0"/>
      <w:marBottom w:val="0"/>
      <w:divBdr>
        <w:top w:val="none" w:sz="0" w:space="0" w:color="auto"/>
        <w:left w:val="none" w:sz="0" w:space="0" w:color="auto"/>
        <w:bottom w:val="none" w:sz="0" w:space="0" w:color="auto"/>
        <w:right w:val="none" w:sz="0" w:space="0" w:color="auto"/>
      </w:divBdr>
    </w:div>
    <w:div w:id="1796561440">
      <w:bodyDiv w:val="1"/>
      <w:marLeft w:val="0"/>
      <w:marRight w:val="0"/>
      <w:marTop w:val="0"/>
      <w:marBottom w:val="0"/>
      <w:divBdr>
        <w:top w:val="none" w:sz="0" w:space="0" w:color="auto"/>
        <w:left w:val="none" w:sz="0" w:space="0" w:color="auto"/>
        <w:bottom w:val="none" w:sz="0" w:space="0" w:color="auto"/>
        <w:right w:val="none" w:sz="0" w:space="0" w:color="auto"/>
      </w:divBdr>
    </w:div>
    <w:div w:id="1992171932">
      <w:bodyDiv w:val="1"/>
      <w:marLeft w:val="0"/>
      <w:marRight w:val="0"/>
      <w:marTop w:val="0"/>
      <w:marBottom w:val="0"/>
      <w:divBdr>
        <w:top w:val="none" w:sz="0" w:space="0" w:color="auto"/>
        <w:left w:val="none" w:sz="0" w:space="0" w:color="auto"/>
        <w:bottom w:val="none" w:sz="0" w:space="0" w:color="auto"/>
        <w:right w:val="none" w:sz="0" w:space="0" w:color="auto"/>
      </w:divBdr>
    </w:div>
    <w:div w:id="21294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vgenija.Kucane@tm.gov.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5426</Words>
  <Characters>3094</Characters>
  <Application>Microsoft Office Word</Application>
  <DocSecurity>4</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zemes īpašuma vērtības kompensācijas mehānismu un līdzvērtīgas zemes piešķiršanas kārtību bijušajiem zemesīpašniekiem vai to mantiniekiem</vt:lpstr>
      <vt:lpstr>Par zemes īpašuma vērtības kompensācijas mehānismu un līdzvērtīgas zemes piešķiršanas kārtību bijušajiem zemesīpašniekiem vai to mantiniekiem</vt:lpstr>
    </vt:vector>
  </TitlesOfParts>
  <Company>VZD</Company>
  <LinksUpToDate>false</LinksUpToDate>
  <CharactersWithSpaces>8503</CharactersWithSpaces>
  <SharedDoc>false</SharedDoc>
  <HLinks>
    <vt:vector size="6" baseType="variant">
      <vt:variant>
        <vt:i4>2424840</vt:i4>
      </vt:variant>
      <vt:variant>
        <vt:i4>0</vt:i4>
      </vt:variant>
      <vt:variant>
        <vt:i4>0</vt:i4>
      </vt:variant>
      <vt:variant>
        <vt:i4>5</vt:i4>
      </vt:variant>
      <vt:variant>
        <vt:lpwstr>mailto:Jevgenija.Kucane@tm.gov.lv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zemes īpašuma vērtības kompensācijas mehānismu un līdzvērtīgas zemes piešķiršanas kārtību bijušajiem zemesīpašniekiem vai to mantiniekiem</dc:title>
  <dc:subject>Informatīvais ziņojums</dc:subject>
  <dc:creator>Jevgenija Kučāne</dc:creator>
  <cp:keywords/>
  <dc:description>Jevgenija.Kucane@tm.gov.lv
tālr. 67162606</dc:description>
  <cp:lastModifiedBy>Hardijs Lāns</cp:lastModifiedBy>
  <cp:revision>2</cp:revision>
  <cp:lastPrinted>2009-03-31T06:54:00Z</cp:lastPrinted>
  <dcterms:created xsi:type="dcterms:W3CDTF">2021-08-23T07:46:00Z</dcterms:created>
  <dcterms:modified xsi:type="dcterms:W3CDTF">2021-08-23T07:46:00Z</dcterms:modified>
</cp:coreProperties>
</file>