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paragraph"/>
        <w:contextualSpacing w:val="0"/>
        <w:jc w:val="right"/>
        <w:spacing w:lineRule="auto" w:line="240"/>
        <w:pBdr/>
        <w:rPr>
          <w:b w:val="1"/>
          <w:rtl w:val="0"/>
        </w:rPr>
      </w:pPr>
      <w:r w:rsidR="00000000" w:rsidRPr="00000000" w:rsidDel="00000000">
        <w:rPr>
          <w:rStyle w:val="paragraph"/>
          <w:b w:val="1"/>
          <w:rtl w:val="0"/>
        </w:rPr>
        <w:t xml:space="preserve"/>
      </w:r>
      <w:r w:rsidR="00000000" w:rsidRPr="00000000" w:rsidDel="00000000">
        <w:rPr>
          <w:rStyle w:val="paragraph"/>
          <w:b w:val="1"/>
          <w:rtl w:val="0"/>
        </w:rPr>
        <w:t xml:space="preserve">Pielikums</w:t>
      </w:r>
      <w:r>
        <w:br/>
      </w:r>
      <w:r w:rsidR="00000000" w:rsidRPr="00000000" w:rsidDel="00000000">
        <w:rPr>
          <w:rStyle w:val="paragraph"/>
          <w:b w:val="1"/>
          <w:rtl w:val="0"/>
        </w:rPr>
        <w:t xml:space="preserve">Ministru kabineta</w:t>
      </w:r>
      <w:r>
        <w:br/>
      </w:r>
      <w:r w:rsidR="00000000" w:rsidRPr="00000000" w:rsidDel="00000000">
        <w:rPr>
          <w:rStyle w:val="paragraph"/>
          <w:b w:val="1"/>
          <w:rtl w:val="0"/>
        </w:rPr>
        <w:t xml:space="preserve">[21-TA-1029 Dt]</w:t>
      </w:r>
      <w:r>
        <w:br/>
      </w:r>
      <w:r w:rsidR="00000000" w:rsidRPr="00000000" w:rsidDel="00000000">
        <w:rPr>
          <w:rStyle w:val="paragraph"/>
          <w:b w:val="1"/>
          <w:rtl w:val="0"/>
        </w:rPr>
        <w:t xml:space="preserve">noteikumiem Nr.</w:t>
      </w:r>
      <w:r w:rsidR="00000000" w:rsidRPr="00000000" w:rsidDel="00000000">
        <w:rPr>
          <w:rtl w:val="0"/>
        </w:rPr>
        <w:t xml:space="preserve"> </w:t>
      </w:r>
      <w:r w:rsidR="00000000" w:rsidRPr="00000000" w:rsidDel="00000000">
        <w:rPr>
          <w:rStyle w:val="paragraph"/>
          <w:b w:val="1"/>
          <w:rtl w:val="0"/>
        </w:rPr>
        <w:t xml:space="preserve">[21-TA-1029 Nr]</w:t>
      </w:r>
    </w:p>
    <w:p w:rsidP="00000000" w:rsidRDefault="00000000" w:rsidR="00000000" w:rsidRPr="00000000" w:rsidDel="00000000">
      <w:pPr>
        <w:contextualSpacing w:val="0"/>
        <w:jc w:val="right"/>
        <w:spacing w:lineRule="auto" w:line="240"/>
        <w:pBdr/>
        <w:rPr>
          <w:b w:val="1"/>
          <w:rtl w:val="0"/>
        </w:rPr>
      </w:pPr>
      <w:r w:rsidR="00000000" w:rsidRPr="00000000" w:rsidDel="00000000">
        <w:rPr>
          <w:b w:val="1"/>
          <w:rtl w:val="0"/>
        </w:rPr>
        <w:t xml:space="preserve"/>
      </w:r>
      <w:r w:rsidR="00000000" w:rsidRPr="00000000" w:rsidDel="00000000">
        <w:rPr>
          <w:b w:val="1"/>
          <w:rtl w:val="0"/>
        </w:rPr>
        <w:t xml:space="preserve">" Pielikums</w:t>
      </w:r>
    </w:p>
    <w:p w:rsidP="00000000" w:rsidRDefault="00000000" w:rsidR="00000000" w:rsidRPr="00000000" w:rsidDel="00000000">
      <w:pPr>
        <w:contextualSpacing w:val="0"/>
        <w:jc w:val="right"/>
        <w:spacing w:lineRule="auto" w:line="240"/>
        <w:pBdr/>
        <w:rPr>
          <w:b w:val="1"/>
          <w:rtl w:val="0"/>
        </w:rPr>
      </w:pPr>
      <w:r w:rsidR="00000000" w:rsidRPr="00000000" w:rsidDel="00000000">
        <w:rPr>
          <w:b w:val="1"/>
          <w:rtl w:val="0"/>
        </w:rPr>
        <w:t xml:space="preserve"/>
      </w:r>
      <w:r w:rsidR="00000000" w:rsidRPr="00000000" w:rsidDel="00000000">
        <w:rPr>
          <w:b w:val="1"/>
          <w:rtl w:val="0"/>
        </w:rPr>
        <w:t xml:space="preserve">Ministru kabineta</w:t>
      </w:r>
    </w:p>
    <w:p w:rsidP="00000000" w:rsidRDefault="00000000" w:rsidR="00000000" w:rsidRPr="00000000" w:rsidDel="00000000">
      <w:pPr>
        <w:contextualSpacing w:val="0"/>
        <w:jc w:val="right"/>
        <w:spacing w:lineRule="auto" w:line="240"/>
        <w:pBdr/>
        <w:rPr>
          <w:b w:val="1"/>
          <w:rtl w:val="0"/>
        </w:rPr>
      </w:pPr>
      <w:r w:rsidR="00000000" w:rsidRPr="00000000" w:rsidDel="00000000">
        <w:rPr>
          <w:b w:val="1"/>
          <w:rtl w:val="0"/>
        </w:rPr>
        <w:t xml:space="preserve"/>
      </w:r>
      <w:r w:rsidR="00000000" w:rsidRPr="00000000" w:rsidDel="00000000">
        <w:rPr>
          <w:b w:val="1"/>
          <w:rtl w:val="0"/>
        </w:rPr>
        <w:t xml:space="preserve">2015. gada 22. decembra</w:t>
      </w:r>
    </w:p>
    <w:p w:rsidP="00000000" w:rsidRDefault="00000000" w:rsidR="00000000" w:rsidRPr="00000000" w:rsidDel="00000000">
      <w:pPr>
        <w:contextualSpacing w:val="0"/>
        <w:jc w:val="right"/>
        <w:spacing w:lineRule="auto" w:line="240"/>
        <w:pBdr/>
        <w:rPr>
          <w:b w:val="1"/>
          <w:rtl w:val="0"/>
        </w:rPr>
      </w:pPr>
      <w:r w:rsidR="00000000" w:rsidRPr="00000000" w:rsidDel="00000000">
        <w:rPr>
          <w:b w:val="1"/>
          <w:rtl w:val="0"/>
        </w:rPr>
        <w:t xml:space="preserve"/>
      </w:r>
      <w:r w:rsidR="00000000" w:rsidRPr="00000000" w:rsidDel="00000000">
        <w:rPr>
          <w:b w:val="1"/>
          <w:rtl w:val="0"/>
        </w:rPr>
        <w:t xml:space="preserve">noteikumiem Nr. 787</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jc w:val="center"/>
        <w:spacing w:lineRule="auto" w:line="240"/>
        <w:pBdr/>
        <w:rPr>
          <w:b w:val="1"/>
          <w:rtl w:val="0"/>
        </w:rPr>
      </w:pPr>
      <w:r w:rsidR="00000000" w:rsidRPr="00000000" w:rsidDel="00000000">
        <w:rPr>
          <w:b w:val="1"/>
          <w:rtl w:val="0"/>
        </w:rPr>
        <w:t xml:space="preserve"/>
      </w:r>
      <w:r w:rsidR="00000000" w:rsidRPr="00000000" w:rsidDel="00000000">
        <w:rPr>
          <w:b w:val="1"/>
          <w:rtl w:val="0"/>
        </w:rPr>
        <w:t xml:space="preserve">Valsts zemes dienesta maksas pakalpojumu cenrādis</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tbl>
      <w:tblPr>
        <w:tblStyle w:val="DefaultTable"/>
        <w:bidiVisual w:val="0"/>
        <w:tblW w:w="9641.0" w:type="dxa"/>
        <w:tblInd w:w="0.0" w:type="dxa"/>
        <w:jc w:val="left"/>
        <w:tblBorders>
          <w:top w:color="auto" w:val="single" w:sz="5" w:space="0"/>
          <w:left w:color="auto" w:val="single" w:sz="5" w:space="0"/>
          <w:bottom w:color="auto" w:val="single" w:sz="5" w:space="0"/>
          <w:right w:color="auto" w:val="single" w:sz="5" w:space="0"/>
          <w:insideH w:color="auto" w:val="single" w:sz="5" w:space="0"/>
          <w:insideV w:color="auto" w:val="single" w:sz="5" w:space="0"/>
        </w:tblBorders>
        <w:tblLayout w:type="fixed"/>
        <w:tblLook w:val="0600"/>
      </w:tblPr>
      <w:tblGrid>
        <w:gridCol w:w="802"/>
        <w:gridCol w:w="2910"/>
        <w:gridCol w:w="1568"/>
        <w:gridCol w:w="1472"/>
        <w:gridCol w:w="993"/>
        <w:gridCol w:w="1472"/>
        <w:tblGridChange w:id="0">
          <w:tblGrid>
            <w:gridCol w:w="802"/>
            <w:gridCol w:w="2910"/>
            <w:gridCol w:w="1568"/>
            <w:gridCol w:w="1472"/>
            <w:gridCol w:w="993"/>
            <w:gridCol w:w="1472"/>
          </w:tblGrid>
        </w:tblGridChange>
      </w:tblGrid>
      <w:tr>
        <w:tc>
          <w:tcPr>
            <w:shd w:fill="ffffff"/>
            <w:vAlign w:val="center"/>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Nr. p. k.</w:t>
            </w:r>
          </w:p>
        </w:tc>
        <w:tc>
          <w:tcPr>
            <w:shd w:fill="ffffff"/>
            <w:vAlign w:val="center"/>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Pakalpojuma nosaukums</w:t>
            </w:r>
          </w:p>
        </w:tc>
        <w:tc>
          <w:tcPr>
            <w:shd w:fill="ffffff"/>
            <w:vAlign w:val="center"/>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Mērvienība</w:t>
            </w:r>
          </w:p>
        </w:tc>
        <w:tc>
          <w:tcPr>
            <w:shd w:fill="ffffff"/>
            <w:vAlign w:val="center"/>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Cena bez PVN (</w:t>
            </w:r>
            <w:r w:rsidR="00000000" w:rsidRPr="00000000" w:rsidDel="00000000">
              <w:rPr>
                <w:i w:val="1"/>
                <w:rtl w:val="0"/>
              </w:rPr>
              <w:t xml:space="preserve">euro</w:t>
            </w:r>
            <w:r w:rsidR="00000000" w:rsidRPr="00000000" w:rsidDel="00000000">
              <w:rPr>
                <w:rtl w:val="0"/>
              </w:rPr>
              <w:t xml:space="preserve">)</w:t>
            </w:r>
          </w:p>
        </w:tc>
        <w:tc>
          <w:tcPr>
            <w:shd w:fill="ffffff"/>
            <w:vAlign w:val="center"/>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PVN (</w:t>
            </w:r>
            <w:r w:rsidR="00000000" w:rsidRPr="00000000" w:rsidDel="00000000">
              <w:rPr>
                <w:i w:val="1"/>
                <w:rtl w:val="0"/>
              </w:rPr>
              <w:t xml:space="preserve">euro</w:t>
            </w:r>
            <w:r w:rsidR="00000000" w:rsidRPr="00000000" w:rsidDel="00000000">
              <w:rPr>
                <w:rtl w:val="0"/>
              </w:rPr>
              <w:t xml:space="preserve">)</w:t>
            </w:r>
            <w:r w:rsidR="00000000" w:rsidRPr="00000000" w:rsidDel="00000000">
              <w:rPr>
                <w:vertAlign w:val="superscript"/>
                <w:rtl w:val="0"/>
              </w:rPr>
              <w:t xml:space="preserve">1</w:t>
            </w:r>
          </w:p>
        </w:tc>
        <w:tc>
          <w:tcPr>
            <w:shd w:fill="ffffff"/>
            <w:vAlign w:val="center"/>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Cena ar PVN (</w:t>
            </w:r>
            <w:r w:rsidR="00000000" w:rsidRPr="00000000" w:rsidDel="00000000">
              <w:rPr>
                <w:i w:val="1"/>
                <w:rtl w:val="0"/>
              </w:rPr>
              <w:t xml:space="preserve">euro</w:t>
            </w:r>
            <w:r w:rsidR="00000000" w:rsidRPr="00000000" w:rsidDel="00000000">
              <w:rPr>
                <w:rtl w:val="0"/>
              </w:rPr>
              <w:t xml:space="preserve">)</w:t>
            </w:r>
          </w:p>
        </w:tc>
      </w:tr>
      <w:tr>
        <w:tc>
          <w:tcPr>
            <w:shd w:fill="ffffff"/>
            <w:vAlign w:val="center"/>
            <w:noWrap w:val="true"/>
            <w:gridSpan w:val="6"/>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I. Būvju un telpu grupu kadastrālā uzmērīšana</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w:t>
            </w:r>
          </w:p>
        </w:tc>
        <w:tc>
          <w:tcPr>
            <w:shd w:fill="ffffff"/>
            <w:vAlign w:val="top"/>
            <w:noWrap w:val="true"/>
            <w:gridSpan w:val="5"/>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Ēkas, telpu grupas kadastrālā uzmērīšana</w:t>
            </w:r>
            <w:r w:rsidR="00000000" w:rsidRPr="00000000" w:rsidDel="00000000">
              <w:rPr>
                <w:vertAlign w:val="superscript"/>
                <w:rtl w:val="0"/>
              </w:rPr>
              <w:t xml:space="preserve">2, 3</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1.1.</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sākotnējo datu un dokumentu sagatavošana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īpašums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42,00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42,00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1.2.</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ēkas kadastrālā uzmērīšana, bet ne mazāk kā 25,90 </w:t>
            </w:r>
            <w:r w:rsidR="00000000" w:rsidRPr="00000000" w:rsidDel="00000000">
              <w:rPr>
                <w:i w:val="1"/>
                <w:rtl w:val="0"/>
              </w:rPr>
              <w:t xml:space="preserve">euro</w:t>
            </w:r>
            <w:r w:rsidR="00000000" w:rsidRPr="00000000" w:rsidDel="00000000">
              <w:rPr>
                <w:rtl w:val="0"/>
              </w:rPr>
              <w:t xml:space="preserve"> par ēku</w:t>
            </w:r>
            <w:r w:rsidR="00000000" w:rsidRPr="00000000" w:rsidDel="00000000">
              <w:rPr>
                <w:vertAlign w:val="superscript"/>
                <w:rtl w:val="0"/>
              </w:rPr>
              <w:t xml:space="preserve">4</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apbūves laukuma kvadrātmetrs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0,17</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0,17</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1.3.</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telpas kadastrālā uzmērīšana, bet ne mazāk kā 5,00 </w:t>
            </w:r>
            <w:r w:rsidR="00000000" w:rsidRPr="00000000" w:rsidDel="00000000">
              <w:rPr>
                <w:i w:val="1"/>
                <w:rtl w:val="0"/>
              </w:rPr>
              <w:t xml:space="preserve">euro</w:t>
            </w:r>
            <w:r w:rsidR="00000000" w:rsidRPr="00000000" w:rsidDel="00000000">
              <w:rPr>
                <w:rtl w:val="0"/>
              </w:rPr>
              <w:t xml:space="preserve"> un ne vairāk kā 252,90 </w:t>
            </w:r>
            <w:r w:rsidR="00000000" w:rsidRPr="00000000" w:rsidDel="00000000">
              <w:rPr>
                <w:i w:val="1"/>
                <w:rtl w:val="0"/>
              </w:rPr>
              <w:t xml:space="preserve">euro</w:t>
            </w:r>
            <w:r w:rsidR="00000000" w:rsidRPr="00000000" w:rsidDel="00000000">
              <w:rPr>
                <w:rtl w:val="0"/>
              </w:rPr>
              <w:t xml:space="preserve"> par telpu</w:t>
            </w:r>
            <w:r w:rsidR="00000000" w:rsidRPr="00000000" w:rsidDel="00000000">
              <w:rPr>
                <w:vertAlign w:val="superscript"/>
                <w:rtl w:val="0"/>
              </w:rPr>
              <w:t xml:space="preserve">4</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kopējās platības kvadrātmetrs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1,09</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1,09</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1.4.</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nereģistrētas ēkas konstatēšana un attiecīgas informācijas attēlošana apbūves plānā</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 ēka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7,85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7,85</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zemes zem ēkām un pagalmiem noteikšana un norādīšana apbūves plānā</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 zemes vienība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15,15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15,15</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w:t>
            </w:r>
          </w:p>
        </w:tc>
        <w:tc>
          <w:tcPr>
            <w:shd w:fill="ffffff"/>
            <w:vAlign w:val="top"/>
            <w:noWrap w:val="true"/>
            <w:gridSpan w:val="5"/>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Lineāras inženierbūves kadastrālā uzmērīšana</w:t>
            </w:r>
            <w:r w:rsidR="00000000" w:rsidRPr="00000000" w:rsidDel="00000000">
              <w:rPr>
                <w:vertAlign w:val="superscript"/>
                <w:rtl w:val="0"/>
              </w:rPr>
              <w:t xml:space="preserve">2, 3</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2.1.</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sākotnējo datu un dokumentu sagatavošana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pasūtījums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62,00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62,00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2.2.</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lineāras inženierbūves kadastrālā uzmērīšana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kilometrs/</w:t>
            </w:r>
            <w:r>
              <w:br/>
            </w:r>
            <w:r w:rsidR="00000000" w:rsidRPr="00000000" w:rsidDel="00000000">
              <w:rPr>
                <w:rtl w:val="0"/>
              </w:rPr>
              <w:t xml:space="preserve">1000 kvadrātmetru</w:t>
            </w:r>
            <w:r w:rsidR="00000000" w:rsidRPr="00000000" w:rsidDel="00000000">
              <w:rPr>
                <w:vertAlign w:val="superscript"/>
                <w:rtl w:val="0"/>
              </w:rPr>
              <w:t xml:space="preserve">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21,10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21,10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2.3.</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otrās un katras nākamās inženierbūves daļas kadastrālā uzmērīšana (papildus pielikuma 2.2. apakšpunktā minētajai cenai)</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 daļa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4,10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4,10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2.4.</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telpas kadastrālā uzmērīšana, bet ne mazāk kā 5,00 </w:t>
            </w:r>
            <w:r w:rsidR="00000000" w:rsidRPr="00000000" w:rsidDel="00000000">
              <w:rPr>
                <w:i w:val="1"/>
                <w:rtl w:val="0"/>
              </w:rPr>
              <w:t xml:space="preserve">euro</w:t>
            </w:r>
            <w:r w:rsidR="00000000" w:rsidRPr="00000000" w:rsidDel="00000000">
              <w:rPr>
                <w:rtl w:val="0"/>
              </w:rPr>
              <w:t xml:space="preserve"> un ne vairāk kā 252,90 </w:t>
            </w:r>
            <w:r w:rsidR="00000000" w:rsidRPr="00000000" w:rsidDel="00000000">
              <w:rPr>
                <w:i w:val="1"/>
                <w:rtl w:val="0"/>
              </w:rPr>
              <w:t xml:space="preserve">euro</w:t>
            </w:r>
            <w:r w:rsidR="00000000" w:rsidRPr="00000000" w:rsidDel="00000000">
              <w:rPr>
                <w:rtl w:val="0"/>
              </w:rPr>
              <w:t xml:space="preserve"> par telpu</w:t>
            </w:r>
            <w:r w:rsidR="00000000" w:rsidRPr="00000000" w:rsidDel="00000000">
              <w:rPr>
                <w:vertAlign w:val="superscript"/>
                <w:rtl w:val="0"/>
              </w:rPr>
              <w:t xml:space="preserve">4</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kopējās platības kvadrātmetrs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1,09</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1,09</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w:t>
            </w:r>
          </w:p>
        </w:tc>
        <w:tc>
          <w:tcPr>
            <w:shd w:fill="ffffff"/>
            <w:vAlign w:val="top"/>
            <w:noWrap w:val="true"/>
            <w:gridSpan w:val="5"/>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Punktveida inženierbūves kadastrālā uzmērīšana</w:t>
            </w:r>
            <w:r w:rsidR="00000000" w:rsidRPr="00000000" w:rsidDel="00000000">
              <w:rPr>
                <w:vertAlign w:val="superscript"/>
                <w:rtl w:val="0"/>
              </w:rPr>
              <w:t xml:space="preserve">2,</w:t>
            </w:r>
            <w:r w:rsidR="00000000" w:rsidRPr="00000000" w:rsidDel="00000000">
              <w:rPr>
                <w:rtl w:val="0"/>
              </w:rPr>
              <w:t xml:space="preserve"> </w:t>
            </w:r>
            <w:r w:rsidR="00000000" w:rsidRPr="00000000" w:rsidDel="00000000">
              <w:rPr>
                <w:vertAlign w:val="superscript"/>
                <w:rtl w:val="0"/>
              </w:rPr>
              <w:t xml:space="preserve">3</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3.1.</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sākotnējo datu un dokumentu sagatavošana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pasūtījums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42,00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42,00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3.2.</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punktveida inženierbūves kadastrālā uzmērīšana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 inženierbūve</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15,60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15,60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3.3.</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otrās un katras nākamās inženierbūves daļas kadastrālā uzmērīšana (papildus pielikuma 3.2. apakšpunktā minētajai cenai)</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 daļa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4,10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4,10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3.4.</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telpas kadastrālā uzmērīšana, bet ne mazāk kā 5,00 </w:t>
            </w:r>
            <w:r w:rsidR="00000000" w:rsidRPr="00000000" w:rsidDel="00000000">
              <w:rPr>
                <w:i w:val="1"/>
                <w:rtl w:val="0"/>
              </w:rPr>
              <w:t xml:space="preserve">euro</w:t>
            </w:r>
            <w:r w:rsidR="00000000" w:rsidRPr="00000000" w:rsidDel="00000000">
              <w:rPr>
                <w:rtl w:val="0"/>
              </w:rPr>
              <w:t xml:space="preserve"> un ne vairāk kā 252,90 </w:t>
            </w:r>
            <w:r w:rsidR="00000000" w:rsidRPr="00000000" w:rsidDel="00000000">
              <w:rPr>
                <w:i w:val="1"/>
                <w:rtl w:val="0"/>
              </w:rPr>
              <w:t xml:space="preserve">euro</w:t>
            </w:r>
            <w:r w:rsidR="00000000" w:rsidRPr="00000000" w:rsidDel="00000000">
              <w:rPr>
                <w:rtl w:val="0"/>
              </w:rPr>
              <w:t xml:space="preserve"> par telpu</w:t>
            </w:r>
            <w:r w:rsidR="00000000" w:rsidRPr="00000000" w:rsidDel="00000000">
              <w:rPr>
                <w:vertAlign w:val="superscript"/>
                <w:rtl w:val="0"/>
              </w:rPr>
              <w:t xml:space="preserve">4</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kopējās platības kvadrātmetrs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1,09</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1,09</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4.</w:t>
            </w:r>
          </w:p>
        </w:tc>
        <w:tc>
          <w:tcPr>
            <w:shd w:fill="ffffff"/>
            <w:vAlign w:val="top"/>
            <w:noWrap w:val="true"/>
            <w:gridSpan w:val="5"/>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Būves nolietojuma noteikšana</w:t>
            </w:r>
            <w:r w:rsidR="00000000" w:rsidRPr="00000000" w:rsidDel="00000000">
              <w:rPr>
                <w:vertAlign w:val="superscript"/>
                <w:rtl w:val="0"/>
              </w:rPr>
              <w:t xml:space="preserve">2, 3, 6</w:t>
            </w:r>
            <w:r w:rsidR="00000000" w:rsidRPr="00000000" w:rsidDel="00000000">
              <w:rPr>
                <w:rtl w:val="0"/>
              </w:rPr>
              <w:t xml:space="preserve"> </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4.1.</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ēkām ar kopējo būvtilpumu līdz 1000 kubikmetriem vienas zemes vienības ietvaros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ēkas ar kopējo būvtilpumu līdz 1000 kubikmetriem</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34,35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34,35</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4.2.</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ēkām ar kopējo būvtilpumu no 1001 līdz 5000 kubikmetriem vienas zemes vienības ietvaros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ēkas ar kopējo būvtilpumu no 1001 līdz 5000 kubikmetriem</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80,50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80,50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Būves neesības konstatēšana un attiecīgas informācijas attēlošana apbūves plānā (papildus pielikuma 1., 2. vai 3. punktā minētajai cenai)</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 būve</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7,95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7,95</w:t>
            </w:r>
          </w:p>
        </w:tc>
      </w:tr>
      <w:tr>
        <w:tc>
          <w:tcPr>
            <w:shd w:fill="ffffff"/>
            <w:vAlign w:val="center"/>
            <w:noWrap w:val="true"/>
            <w:gridSpan w:val="6"/>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II. Datu reģistrācija un aktualizācija Kadastra informācijas sistēmā</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6.</w:t>
            </w:r>
          </w:p>
        </w:tc>
        <w:tc>
          <w:tcPr>
            <w:shd w:fill="ffffff"/>
            <w:vAlign w:val="top"/>
            <w:noWrap w:val="true"/>
            <w:gridSpan w:val="5"/>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Kadastra objekta datu reģistrācija un aktualizācija</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6.1.</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jauna kadastra objekta datu reģistrācija, reģistrācijas atteikums vai kadastra datu aktualizācija pēc kadastrālās uzmērīšanas vai aktualizācijas atteikums (nekustamais īpašums, zemes vienība, zemes vienības daļa, būve vai telpu grupa)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kadastra objekts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30,00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30,00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6.2.</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par 21. un katru nākamo telpu vienā telpu grupā (papildus pielikuma 6.1. apakšpunktā minētajai cenai)</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 telpa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0,52</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0,52</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7.</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Kadastra datu aktualizācija, tai skaitā ieraksta par būves vai telpu grupas dzēšanu, neveicot kadastrālo uzmērīšanu, vai aktualizācijas atteikums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 veida datu aktualizācija par vienu kadastra objektu</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9,25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9,25</w:t>
            </w:r>
          </w:p>
        </w:tc>
      </w:tr>
      <w:tr>
        <w:tc>
          <w:tcPr>
            <w:shd w:fill="ffffff"/>
            <w:vAlign w:val="center"/>
            <w:noWrap w:val="true"/>
            <w:gridSpan w:val="6"/>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III. Informācijas pieejamības nodrošināšana</w:t>
            </w:r>
            <w:r w:rsidR="00000000" w:rsidRPr="00000000" w:rsidDel="00000000">
              <w:rPr>
                <w:vertAlign w:val="superscript"/>
                <w:rtl w:val="0"/>
              </w:rPr>
              <w:t xml:space="preserve">7</w:t>
            </w:r>
          </w:p>
        </w:tc>
      </w:tr>
      <w:tr>
        <w:tc>
          <w:tcPr>
            <w:shd w:fill="ffffff"/>
            <w:vAlign w:val="top"/>
            <w:noWrap w:val="true"/>
            <w:vMerge w:val="restart"/>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8.</w:t>
            </w:r>
          </w:p>
        </w:tc>
        <w:tc>
          <w:tcPr>
            <w:shd w:fill="ffffff"/>
            <w:vAlign w:val="top"/>
            <w:noWrap w:val="true"/>
            <w:vMerge w:val="restart"/>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Kadastra teksta datu pārlūkošana par kadastra subjektu vai kadastra subjektam reģistrēto nekustamo īpašumu uzskaitījumu</w:t>
            </w:r>
            <w:r w:rsidR="00000000" w:rsidRPr="00000000" w:rsidDel="00000000">
              <w:rPr>
                <w:vertAlign w:val="superscript"/>
                <w:rtl w:val="0"/>
              </w:rPr>
              <w:t xml:space="preserve">10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īpašums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2,85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2,85</w:t>
            </w:r>
          </w:p>
        </w:tc>
      </w:tr>
      <w:tr>
        <w:tc>
          <w:tcPr>
            <w:shd w:fill="ffffff"/>
            <w:vAlign w:val="center"/>
            <w:noWrap w:val="true"/>
            <w:vMerge w:val="contin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r>
          </w:p>
        </w:tc>
        <w:tc>
          <w:tcPr>
            <w:shd w:fill="ffffff"/>
            <w:vAlign w:val="center"/>
            <w:noWrap w:val="true"/>
            <w:vMerge w:val="contin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mēnesis</w:t>
            </w:r>
            <w:r w:rsidR="00000000" w:rsidRPr="00000000" w:rsidDel="00000000">
              <w:rPr>
                <w:vertAlign w:val="superscript"/>
                <w:rtl w:val="0"/>
              </w:rPr>
              <w:t xml:space="preserve">8</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162,50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162,50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9.</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Datu izsniegšanas pakalpojuma abonēšana vienai datu kopai</w:t>
            </w:r>
            <w:r w:rsidR="00000000" w:rsidRPr="00000000" w:rsidDel="00000000">
              <w:rPr>
                <w:vertAlign w:val="superscript"/>
                <w:rtl w:val="0"/>
              </w:rPr>
              <w:t xml:space="preserve">8</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mēnesis par vienu datu kopu</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24,50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24,50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Tīmekļa pakalpe, izņemot augstas detalizācijas topogrāfiskās informācijas  un apgrūtināto teritoriju, apgrūtināto objektu un to robežu informācijas WMS </w:t>
            </w:r>
            <w:r w:rsidR="00000000" w:rsidRPr="00000000" w:rsidDel="00000000">
              <w:rPr>
                <w:vertAlign w:val="superscript"/>
                <w:rtl w:val="0"/>
              </w:rPr>
              <w:t xml:space="preserve">8,9</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mēnesis par vienu tīmekļa pakalpi līdz 25 000 pieprasījumiem mēnesī</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42,05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42,05</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11.</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Datu bāzes replikācijas abonēšana</w:t>
            </w:r>
            <w:r w:rsidR="00000000" w:rsidRPr="00000000" w:rsidDel="00000000">
              <w:rPr>
                <w:vertAlign w:val="superscript"/>
                <w:rtl w:val="0"/>
              </w:rPr>
              <w:t xml:space="preserve">8</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mēnesis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42,05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42,05</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12.</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Datnes izsniegšana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 datu kopa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150,35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150,35</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13.</w:t>
            </w:r>
          </w:p>
        </w:tc>
        <w:tc>
          <w:tcPr>
            <w:shd w:fill="ffffff"/>
            <w:vAlign w:val="top"/>
            <w:noWrap w:val="true"/>
            <w:gridSpan w:val="5"/>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Informācija sertificētām personām</w:t>
            </w:r>
            <w:r w:rsidR="00000000" w:rsidRPr="00000000" w:rsidDel="00000000">
              <w:rPr>
                <w:vertAlign w:val="superscript"/>
                <w:rtl w:val="0"/>
              </w:rPr>
              <w:t xml:space="preserve">12 </w:t>
            </w:r>
            <w:r w:rsidR="00000000" w:rsidRPr="00000000" w:rsidDel="00000000">
              <w:rPr>
                <w:rtl w:val="0"/>
              </w:rPr>
              <w:t xml:space="preserve">normatīvajos aktos noteikto uzdevumu veikšanai</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13.1.</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Informācija standartizētā formā par uzmērāmo objektu un par robežojošām zemes vienībām</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 zemes vienība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20,75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20,75</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13.2.</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Informācija standartizētā formā par uzmērāmo objektu</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 zemes vienība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9,10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9,10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14.</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Informācija par vienu pieprasījuma objektu no informācijas sistēmām un arhīva dokumentiem</w:t>
            </w:r>
            <w:r w:rsidR="00000000" w:rsidRPr="00000000" w:rsidDel="00000000">
              <w:rPr>
                <w:vertAlign w:val="superscript"/>
                <w:rtl w:val="0"/>
              </w:rPr>
              <w:t xml:space="preserve">11</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dokuments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13,45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13,45</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Izraksta vai noraksta sagatavošana (tai skaitā caurauklošana, numurēšana un apliecināšana)</w:t>
            </w:r>
            <w:r w:rsidR="00000000" w:rsidRPr="00000000" w:rsidDel="00000000">
              <w:rPr>
                <w:vertAlign w:val="superscript"/>
                <w:rtl w:val="0"/>
              </w:rPr>
              <w:t xml:space="preserve">11</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dokuments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14,15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14,15</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16.</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Kadastrālās uzmērīšanas lietas vai tās papildu oriģināla eksemplāra sagatavošana</w:t>
            </w:r>
            <w:r w:rsidR="00000000" w:rsidRPr="00000000" w:rsidDel="00000000">
              <w:rPr>
                <w:vertAlign w:val="superscript"/>
                <w:rtl w:val="0"/>
              </w:rPr>
              <w:t xml:space="preserve">11</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vienas būves vai telpu grupas lieta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15,00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15,00</w:t>
            </w:r>
          </w:p>
        </w:tc>
      </w:tr>
      <w:tr>
        <w:tc>
          <w:tcPr>
            <w:shd w:fill="ffffff"/>
            <w:vAlign w:val="top"/>
            <w:noWrap w:val="true"/>
            <w:vMerge w:val="restart"/>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17.</w:t>
            </w:r>
          </w:p>
        </w:tc>
        <w:tc>
          <w:tcPr>
            <w:shd w:fill="ffffff"/>
            <w:vAlign w:val="top"/>
            <w:noWrap w:val="true"/>
            <w:vMerge w:val="restart"/>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Arhīva vai cita dokumenta kopijas sagatavošana un izsniegšana</w:t>
            </w:r>
            <w:r w:rsidR="00000000" w:rsidRPr="00000000" w:rsidDel="00000000">
              <w:rPr>
                <w:vertAlign w:val="superscript"/>
                <w:rtl w:val="0"/>
              </w:rPr>
              <w:t xml:space="preserve">11</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dokuments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3,00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3,00</w:t>
            </w:r>
          </w:p>
        </w:tc>
      </w:tr>
      <w:tr>
        <w:tc>
          <w:tcPr>
            <w:shd w:fill="ffffff"/>
            <w:vAlign w:val="center"/>
            <w:noWrap w:val="true"/>
            <w:vMerge w:val="contin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r>
          </w:p>
        </w:tc>
        <w:tc>
          <w:tcPr>
            <w:shd w:fill="ffffff"/>
            <w:vAlign w:val="center"/>
            <w:noWrap w:val="true"/>
            <w:vMerge w:val="contin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 lieta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15,00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15,00</w:t>
            </w:r>
          </w:p>
        </w:tc>
      </w:tr>
      <w:tr>
        <w:tc>
          <w:tcPr>
            <w:shd w:fill="ffffff"/>
            <w:vAlign w:val="top"/>
            <w:noWrap w:val="tr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18.</w:t>
            </w:r>
          </w:p>
        </w:tc>
        <w:tc>
          <w:tcPr>
            <w:shd w:fill="ffffff"/>
            <w:vAlign w:val="top"/>
            <w:noWrap w:val="tr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Speciāla datu atlase un apstrāde (tai skaitā programmēšanas laiks un datu atlasīšanas procesa ilgums, datu noformēšana un apstrāde) par vienu pieprasījumu</w:t>
            </w:r>
            <w:r w:rsidR="00000000" w:rsidRPr="00000000" w:rsidDel="00000000">
              <w:rPr>
                <w:vertAlign w:val="superscript"/>
                <w:rtl w:val="0"/>
              </w:rPr>
              <w:t xml:space="preserve">13</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 stunda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38,80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38,80</w:t>
            </w:r>
          </w:p>
        </w:tc>
      </w:tr>
      <w:tr>
        <w:tc>
          <w:tcPr>
            <w:shd w:fill="ffffff"/>
            <w:vAlign w:val="top"/>
            <w:noWrap w:val="tr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19.</w:t>
            </w:r>
          </w:p>
        </w:tc>
        <w:tc>
          <w:tcPr>
            <w:shd w:fill="ffffff"/>
            <w:vAlign w:val="top"/>
            <w:noWrap w:val="true"/>
            <w:vMerge w:val="restart"/>
            <w:gridSpan w:val="5"/>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Informācijas izsniegšanas nodrošināšana</w:t>
            </w:r>
            <w:r w:rsidR="00000000" w:rsidRPr="00000000" w:rsidDel="00000000">
              <w:rPr>
                <w:vertAlign w:val="superscript"/>
                <w:rtl w:val="0"/>
              </w:rPr>
              <w:t xml:space="preserve">14</w:t>
            </w:r>
          </w:p>
        </w:tc>
      </w:tr>
      <w:tr>
        <w:tc>
          <w:tcPr>
            <w:shd w:fill="ffffff"/>
            <w:vAlign w:val="top"/>
            <w:noWrap w:val="tr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19.1.</w:t>
            </w:r>
          </w:p>
        </w:tc>
        <w:tc>
          <w:tcPr>
            <w:shd w:fill="ffffff"/>
            <w:vAlign w:val="top"/>
            <w:noWrap w:val="tr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pasta sūtījuma noformēšana</w:t>
            </w:r>
            <w:r w:rsidR="00000000" w:rsidRPr="00000000" w:rsidDel="00000000">
              <w:rPr>
                <w:vertAlign w:val="superscript"/>
                <w:rtl w:val="0"/>
              </w:rPr>
              <w:t xml:space="preserve">15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pasta sūtījums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1,45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1,45</w:t>
            </w:r>
          </w:p>
        </w:tc>
      </w:tr>
      <w:tr>
        <w:tc>
          <w:tcPr>
            <w:shd w:fill="ffffff"/>
            <w:vAlign w:val="top"/>
            <w:noWrap w:val="tr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19.2.</w:t>
            </w:r>
          </w:p>
        </w:tc>
        <w:tc>
          <w:tcPr>
            <w:shd w:fill="ffffff"/>
            <w:vAlign w:val="top"/>
            <w:noWrap w:val="tr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kopiju caurauklošana, numurēšana, apliecināšana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caurauklots dokuments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4,25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4,25</w:t>
            </w:r>
          </w:p>
        </w:tc>
      </w:tr>
      <w:tr>
        <w:tc>
          <w:tcPr>
            <w:shd w:fill="ffffff"/>
            <w:vAlign w:val="top"/>
            <w:noWrap w:val="tr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19.3.</w:t>
            </w:r>
          </w:p>
        </w:tc>
        <w:tc>
          <w:tcPr>
            <w:shd w:fill="ffffff"/>
            <w:vAlign w:val="top"/>
            <w:noWrap w:val="tr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dokumenta, tai skaitā kopijas, apliecināšana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apliecinājums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1,85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1,85</w:t>
            </w:r>
          </w:p>
        </w:tc>
      </w:tr>
      <w:tr>
        <w:tc>
          <w:tcPr>
            <w:shd w:fill="ffffff"/>
            <w:vAlign w:val="top"/>
            <w:noWrap w:val="tr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19.4.</w:t>
            </w:r>
          </w:p>
        </w:tc>
        <w:tc>
          <w:tcPr>
            <w:shd w:fill="ffffff"/>
            <w:vAlign w:val="top"/>
            <w:noWrap w:val="tr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informācijas izsniegšana papīra formā, ja dokumenta apjoms pārsniedz 10 lapas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par katrām 10 lapām</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1,55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1,55</w:t>
            </w:r>
          </w:p>
        </w:tc>
      </w:tr>
      <w:tr>
        <w:tc>
          <w:tcPr>
            <w:shd w:fill="ffffff"/>
            <w:vAlign w:val="top"/>
            <w:noWrap w:val="tr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19.5.</w:t>
            </w:r>
          </w:p>
        </w:tc>
        <w:tc>
          <w:tcPr>
            <w:shd w:fill="ffffff"/>
            <w:vAlign w:val="top"/>
            <w:noWrap w:val="true"/>
            <w:gridSpan w:val="1"/>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informācijas izsniegšana lielformāta (A0, A1, A2) papīra formā</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 lapa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8,55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8,55</w:t>
            </w:r>
          </w:p>
        </w:tc>
      </w:tr>
      <w:tr>
        <w:tc>
          <w:tcPr>
            <w:shd w:fill="ffffff"/>
            <w:vAlign w:val="center"/>
            <w:noWrap w:val="true"/>
            <w:gridSpan w:val="6"/>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IV. Atzinumi, saskaņojumi un lēmumi</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Cita veida Valsts zemes dienesta atzinums vai saskaņojums</w:t>
            </w:r>
            <w:r w:rsidR="00000000" w:rsidRPr="00000000" w:rsidDel="00000000">
              <w:rPr>
                <w:vertAlign w:val="superscript"/>
                <w:rtl w:val="0"/>
              </w:rPr>
              <w:t xml:space="preserve">11</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atzinums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40,30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40,30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21.</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Speciālās vērtības aprēķināšana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 vērtība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33,35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33,35</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22.</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Lēmums zemes reformas ietvaros</w:t>
            </w:r>
            <w:r w:rsidR="00000000" w:rsidRPr="00000000" w:rsidDel="00000000">
              <w:rPr>
                <w:vertAlign w:val="superscript"/>
                <w:rtl w:val="0"/>
              </w:rPr>
              <w:t xml:space="preserve">11, 16</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 </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 </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 </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 </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22.1.</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vienam lietotājam</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lēmums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27,75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27,75</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22.2.</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katram nākamajam lietotājam, ja ir kopīpašums (koplietojums) (papildus pielikuma 22.1. apakšpunktā minētajai cenai), bet ne vairāk kā 170,74 </w:t>
            </w:r>
            <w:r w:rsidR="00000000" w:rsidRPr="00000000" w:rsidDel="00000000">
              <w:rPr>
                <w:i w:val="1"/>
                <w:rtl w:val="0"/>
              </w:rPr>
              <w:t xml:space="preserve">euro</w:t>
            </w:r>
            <w:r w:rsidR="00000000" w:rsidRPr="00000000" w:rsidDel="00000000">
              <w:rPr>
                <w:rtl w:val="0"/>
              </w:rPr>
              <w:t xml:space="preserve"> par lēmuma sagatavošanu</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lēmums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7,10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7,10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23.</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Kadastra dokumenta atbilstības pārbaude attiecībā pret kadastra datiem</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dokuments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9,25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9,25</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24.</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Reģistrācijai Kadastra informācijas sistēmā iesniegto ziņu pārbaude apvidū</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pieprasījums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60,00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60,00</w:t>
            </w:r>
          </w:p>
        </w:tc>
      </w:tr>
      <w:tr>
        <w:tc>
          <w:tcPr>
            <w:shd w:fill="ffffff"/>
            <w:vAlign w:val="center"/>
            <w:noWrap w:val="true"/>
            <w:gridSpan w:val="6"/>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 Citi pakalpojumi</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25.</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Elektroniskā pakalpojuma pasūtīšana vai saņemšana klātienē</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pieprasījums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4,30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4,30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26.</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Zemes robežu vai apvienotā zemes robežu, situācijas un apgrūtinājuma plāna sagatavošana no arhīva dokumentiem</w:t>
            </w:r>
            <w:r w:rsidR="00000000" w:rsidRPr="00000000" w:rsidDel="00000000">
              <w:rPr>
                <w:vertAlign w:val="superscript"/>
                <w:rtl w:val="0"/>
              </w:rPr>
              <w:t xml:space="preserve">11</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dokuments par vienu zemes vienību</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38,80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38,80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27.</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Datu elektroniskā apstrāde un sagatavošana digitālā formā</w:t>
            </w:r>
            <w:r w:rsidR="00000000" w:rsidRPr="00000000" w:rsidDel="00000000">
              <w:rPr>
                <w:sz w:val="20"/>
                <w:vertAlign w:val="superscript"/>
                <w:rtl w:val="0"/>
              </w:rPr>
              <w:t xml:space="preserve">13</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viena stunda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19,70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19,70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28.</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Dalības maksa par piedalīšanos Valsts zemes dienesta organizētajos semināros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dalībnieks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29,00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29,00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29.</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Speciālista izbraukums uz objektu, kas atrodas tālāk par 45 kilometriem no Valsts zemes dienesta reģionālās  pārvaldes apakšstruktūrvienības adreses </w:t>
            </w:r>
            <w:r w:rsidR="00000000" w:rsidRPr="00000000" w:rsidDel="00000000">
              <w:rPr>
                <w:sz w:val="20"/>
                <w:vertAlign w:val="superscript"/>
                <w:rtl w:val="0"/>
              </w:rPr>
              <w:t xml:space="preserve">7,17</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izbraukums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11,70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11,70</w:t>
            </w:r>
          </w:p>
        </w:tc>
      </w:tr>
      <w:tr>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Valsts zemes dienesta transporta izmantošana</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rtl w:val="0"/>
              </w:rPr>
              <w:t xml:space="preserve">viens kilometrs</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0,47</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0,00</w:t>
            </w:r>
          </w:p>
        </w:tc>
        <w:tc>
          <w:tcPr>
            <w:shd w:fill="ffffff"/>
            <w:vAlign w:val="top"/>
            <w:noWrap w:val="true"/>
            <w:tcMar>
              <w:top w:w="30.0" w:type="dxa"/>
              <w:left w:w="30.0" w:type="dxa"/>
              <w:bottom w:w="30.0" w:type="dxa"/>
              <w:right w:w="3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0,47</w:t>
            </w:r>
          </w:p>
        </w:tc>
      </w:tr>
    </w:tbl>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Piezīmes.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Pievienotās vērtības nodokli nepiemēro saskaņā ar Pievienotās vērtības nodokļa likuma 3. panta astoto daļu.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Ieskaitot apvidus darbus, kas veido 40 % no tāmes summas.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 Papildus pakalpojuma cenai piemēro šā pielikuma 6. vai 7. punktā minēto cenu par kadastra objekta reģistrāciju un kadastra datu aktualizāciju Kadastra informācijas sistēmā, šā pielikuma 16. punktā minēto cenu par kadastrālās uzmērīšanas lietas izgatavošanu, šā pielikuma 29. punktā minēto cenu par speciālista izbraukumu uz objektu, kas atrodas tālāk par 45 kilometriem no Valsts zemes dienesta reģionālās pārvaldes apakšstruktūrvienības adreses, un šā pielikuma 30. punktā minēto cenu par Valsts zemes dienesta transporta izmantošanu pakalpojuma izpildei.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4. Par kontrolmērījumu veikšanu objektā pēc klienta pieprasījuma vai normatīvajos aktos noteiktajos gadījumos cena noteikta 50 % apmērā no šajā punktā minētās cenas.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5. Piemēro kadastrālās vērtības aprēķināšanai paredzēto inženierbūves tipa mērvienību (kvadrātmetrs vai kilometrs).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6. Būvei ar būvtilpumu, kas lielāks par 5000 kubikmetriem, par nolietojuma noteikšanu daļai, kas pārsniedz 5000 kubikmetrus, papildus piemēro maksu saskaņā ar attiecīgo šā pielikuma 4. punkta apakšpunktu.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7. Valsts pārvaldes pakalpojumu portāla www.latvija.lv Pakalpojumu katalogā ievietota informācija par Valsts zemes dienesta sniegtajiem pakalpojumiem.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8. Maksa tiek piemērota par pilnu mēnesi. Minimālais abonēšanas laiks ir viens mēnesis.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9. Cenu piemēro par katriem 25 000 datu pieprasījumiem kalendāra mēnesī līdz 1 000 000 datu pieprasījumu kalendāra mēnesī. Pārsniedzot 1 000 000 datu pieprasījumu kalendāra mēnesī, cena par turpmākiem datu pieprasījumiem šajā kalendāra mēnesī . netiek piemērota. Pieprasījumu skaits ir viens nedalāms kopums. Maksu par kalendāra mēnesi, kurā tiek pārtrauktas līgumsaistības, aprēķina šajā piezīmē noteiktajā kārtībā, proporcionāli nesamazinot maksu.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10. Informācija tiek sagatavota no informācijas sistēmas bez paraksta.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11. Ja nepieciešams, pakalpojuma cenai papildus pieskaita maksu saskaņā ar šā pielikuma 19.4. un 19.5. apakšpunktu.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12. Sertificēta persona ģeodēzijā, zemes ierīcībā, zemes kadastrālajā uzmērīšanā un meža inventarizācijas darbu veikšanā.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13. Maksa tiek piemērota par pilnām stundām. Minimālais informācijas sagatavošanas laiks ir viena stunda.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14. Informācijas izsniegšanu Valsts zemes dienests nodrošina tikai kopā ar valsts pārvaldes funkciju izpildei noteikto pakalpojumu, ja klients norādījis šajā punktā minēto pakalpojuma izsniegšanas veidu.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15. Pakalpojuma cenai papildus pieskaita maksu par sagatavoto dokumentu vai citu materiālu nosūtīšanu pakalpojuma pieprasītājam saskaņā ar pasta sūtījumu piegādātāja izcenojumiem.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16. Lēmums par īpašumtiesību atjaunošanu, nodošanu īpašumā par samaksu, zemes izpirkšanu un īpašumtiesību atjaunošanu (lauku teritorijās, izņemot likuma "Par zemes reformas pabeigšanu lauku apvidos"16. panta otrās daļas noteiktos gadījumus). Ja attiecīgais nekustamais īpašums ir kopīpašumā (koplietojumā), lēmuma oriģināls tiek sagatavots katram īpašniekam (lietotājam).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17. Maksu par pakalpojumu piemēro arī tad, ja jāveic atkārtots izbraukums uz objektu no Valsts zemes dienesta neatkarīgu apstākļu dēļ vai tiek izmantots klienta transports, izbraucot uz objektu."."</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Pielikums 21-TA-1029</w:t>
    </w:r>
    <w:r>
      <w:br/>
    </w:r>
    <w:r w:rsidR="00000000" w:rsidRPr="00000000" w:rsidDel="00000000">
      <w:rPr>
        <w:rtl w:val="0"/>
      </w:rPr>
      <w:t xml:space="preserve">Izdrukāts 09.12.2021. 16.47</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Pielikums 21-TA-1029</w:t>
    </w:r>
    <w:r>
      <w:br/>
    </w:r>
    <w:r w:rsidR="00000000" w:rsidRPr="00000000" w:rsidDel="00000000">
      <w:rPr>
        <w:rtl w:val="0"/>
      </w:rPr>
      <w:t xml:space="preserve">Izdrukāts 09.12.2021. 16.47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left"/>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noteikumu_(grozījumu)_projekts_p_21-TA-1029.docx</dc:title>
</cp:coreProperties>
</file>

<file path=docProps/custom.xml><?xml version="1.0" encoding="utf-8"?>
<Properties xmlns="http://schemas.openxmlformats.org/officeDocument/2006/custom-properties" xmlns:vt="http://schemas.openxmlformats.org/officeDocument/2006/docPropsVTypes"/>
</file>